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南银理财珠联璧合理财管理计划1号公募人民币理财产品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2,834,267,362.90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华鑫证券有限责任公司,紫金信托有限责任公司,鑫元基金管理有限公司,鑫沅资产管理有限公司,江苏省国际信托有限责任公司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3,207,644,303.03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1.1324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1.4668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59,938.31</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Z10036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2,021,724.57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Z10001份额净值为1.1324元，Z10036份额净值为1.1292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99.34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0.66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863,872,038.85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656,961,315.86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XJCKX202309250001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538,403,108.89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259,849,120.55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北京银行定期存款20250616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112597700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25东莞农村商业银行CD078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197,535,000.00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180,602,639.36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DQCKX202506060001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ZJQTT202111100001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鑫沅资产金梅花631号集合资产管理计划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70,932,606.49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102380261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23玄武高新MTN001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50,022,550.00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01640124840000194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南京银行珠联璧合理财计划</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24995579.58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2538725912.95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2557800000.00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633252645.72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415280.91</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9711254.64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912982.07</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