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南银理财鼎瑞安心三年14期公募封闭式人民币理财产品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1</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南银理财鼎瑞安心三年14期公募封闭式人民币理财产品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10,555,374.00</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2026年01月01日 - 2026年03月31日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AX30014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10,597,631.60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AX31014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1.0140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AX32014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142,376.93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1.0169</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2026年一季度债市呈现牛陡走势，短端收益率下行显著，长端保持韧性。经济基本面稳中有升，规模以上工业企业利润同比增长15.2%，CPI温和回升至1.3%，PPI增速连续5个月环比回升，制造业PMI重回扩张区间，进出口数据亮眼但内需修复温和，为债市提供支撑。央行实施精准宽松，资金利率中枢下行。国际上，美伊冲突推高油价引发滞胀担忧，中国债市展现避险韧性。机构配置积极，银行、保险开门红进场，公募增持短久期品种。市场表现上， 10年期下行3BP至1.82%，长端受经济复苏预期、权益走强等扰动，波动有所加大。</w:t>
        <w:br w:type="textWrapping" w:clear="all"/>
      </w:r>
      <w:r>
        <w:rPr>
          <w:rFonts w:ascii="方正仿宋简体" w:eastAsia="方正仿宋简体" w:hint="eastAsia"/>
          <w:sz w:val="24"/>
          <w:szCs w:val="24"/>
        </w:rPr>
        <w:t>  展望二季度，债市大概率呈区间震荡格局。经济基本面预计温和修复，国际地缘冲突与美联储降息节奏扰动仍存，输入性通胀压力显现，长端受通胀及经济预期扰动波动加大，整体需把握结构性机会。央行将维持适度宽松，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AX30014份额净值为1.0175元，AX31014份额净值为1.0140元，AX32014份额净值为1.0169</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25嵊经01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1,005,742.71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280012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25瓯江01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1,005,000.74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280251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25荆控01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1,004,078.18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25金东F1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1,003,428.77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25太科01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1,002,965.43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280060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25新航F1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1,002,689.35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280073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25诸产02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1,002,227.33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280044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25有轨01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1,002,042.84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259859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25兴化04</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1,001,393.99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259932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25长兴01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1,000,655.81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0101010000001753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南银理财鼎瑞安心三年14期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2607.79</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2026年03月31日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