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南银理财鼎瑞安心三年16期封闭式公募人民币理财产品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1</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南银理财鼎瑞安心三年16期封闭式公募人民币理财产品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Z7003225000345</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2025年10月22日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21,009,741.00</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2026年01月01日 - 2026年03月31日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AX30016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21,113,940.36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AX32016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203,859.03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1.0142</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一季度债市呈现牛陡走势，短端收益率下行显著，长端保持韧性。经济基本面稳中有升，规模以上工业企业利润同比增长15.2%，CPI温和回升至1.3%，PPI增速连续5个月环比回升，制造业PMI重回扩张区间，进出口数据亮眼但内需修复温和，为债市提供支撑。央行实施精准宽松，资金利率中枢下行。国际上，美伊冲突推高油价引发滞胀担忧，中国债市展现避险韧性。机构配置积极，银行、保险开门红进场，公募增持短久期品种。市场表现上， 10年期下行3BP至1.82%，长端受经济复苏预期、权益走强等扰动，波动有所加大。</w:t>
        <w:br w:type="textWrapping" w:clear="all"/>
      </w:r>
      <w:r>
        <w:rPr>
          <w:rFonts w:ascii="方正仿宋简体" w:eastAsia="方正仿宋简体" w:hint="eastAsia"/>
          <w:sz w:val="24"/>
          <w:szCs w:val="24"/>
        </w:rPr>
        <w:t>  展望二季度，债市大概率呈区间震荡格局。经济基本面预计温和修复，国际地缘冲突与美联储降息节奏扰动仍存，输入性通胀压力显现，长端受通胀及经济预期扰动波动加大，整体需把握结构性机会。央行将维持适度宽松，操作上，抓住调整窗口积极进行票息布局。</w:t>
        <w:br w:type="textWrapping" w:clear="all"/>
      </w:r>
      <w:r>
        <w:rPr>
          <w:rFonts w:ascii="方正仿宋简体" w:eastAsia="方正仿宋简体" w:hint="eastAsia"/>
          <w:sz w:val="24"/>
          <w:szCs w:val="24"/>
        </w:rPr>
        <w:t>  产品始终围绕稳健回报的收益目标进行操作，通过持有信用资质较好、绝对收益相对较高的信用债作为底仓，获取稳定可靠的票息收益。</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  本产品是封闭式产品，运作稳健，始终坚持谨慎的流动性管理原则，在报告期内，严格匹配资产久期与产品封闭周期。下阶段，产品将继续维持合理的流动性资产比例，做好负债端现金流的跟踪与研判。</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AX30016份额净值为1.0146元，AX32016份额净值为1.0142</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280238</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25陶都02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2,013,344.52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280346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25婺城01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2,012,236.73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280255</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25嵊经01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2,011,104.67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280396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25天山01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2,009,830.45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280251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25荆控01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2,007,778.83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280392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25华阔03</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2,004,834.31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280420</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25保控03</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2,004,834.18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280472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25曲水01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2,004,834.01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280531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25未创01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2,002,242.51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280478</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25扬庆01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1,998,721.00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9.38</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0101090000001787</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南银理财鼎瑞安心三年16期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3658.89</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2026年03月31日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