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南银理财鼎瑞悦稳（最低持有7天）7号公募人民币理财产品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南银理财鼎瑞悦稳（最低持有7天）7号公募人民币理财产品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Z7003224000253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2024年11月06日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4,550,263,695.52</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华泰资产管理有限公司,国投泰康信托有限公司,紫金信托有限责任公司,陆家嘴国际信托有限公司,太平洋资产管理有限责任公司,江苏省国际信托有限责任公司,申万宏源证券资产管理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1,985,978,897.90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1.037237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2,730,133,539.72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1.035874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1.035874</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年期国债收益率下行12BP至1.22%，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短久期品种仍具吸引力。</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A32049份额净值为1.037237元，A32056份额净值为1.035874</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95.91%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4.09%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892,026,574.88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480,630,518.44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415,913,402.05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ZJQTT202401220001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259,360,585.39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DQCKX202507110004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杭州银行定期存款20250711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112503272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25农业银行CD272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197,604,400.00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182,388,140.89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171,015,499.50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徽商银行定期存款20250409B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DQCKX202505080021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贵阳银行定期存款20250508B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0101090000001264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南京银行南京分行南银理财鼎瑞悦稳最低持有7天7号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22国开行二级资本债01A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092202005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61654342.19</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707520621.52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721000000.00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2345090.50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327069.52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