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南银理财鼎瑞悦稳（最低持有14天）2号公募人民币理财产品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南银理财鼎瑞悦稳（最低持有14天）2号公募人民币理财产品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Z7003224000213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2024年10月16日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3,501,674,629.50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商基金管理有限公司,华泰资产管理有限公司,国投泰康信托有限公司,紫金信托有限责任公司,陆家嘴国际信托有限公司,太平洋资产管理有限责任公司,江苏省国际信托有限责任公司,申万宏源证券资产管理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1,433,732,714.29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1.037988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1.037988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2,197,710,091.08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1.036453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1.036453</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A32037份额净值为1.037988元，A32055份额净值为1.036453</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98.58%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96.00%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1.42%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682,471,198.66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DQCKX202508130021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杭州银行定期存款20250813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杭州银行定期存款20250709</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DQCKX202506100003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建设银行定期存款20250610</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112503378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25农业银行CD378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198,441,200.00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ZJQTT202510310001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华商基金聚睿优选集合资产管理计划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170,892,668.83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163,001,408.80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135,221,642.36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DQCKX202504090021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徽商银行定期存款20250409B</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122,801,057.64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0101070000001217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南京银行南京分行南银理财鼎瑞悦稳最低持有14天2号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22国开行二级资本债01A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092202005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51378618.49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25瀛洲发展SCP002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012581803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50648424.66</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226139023.02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230500000.00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50008000.00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1047853.81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242563.16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