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苏银理财恒源天添鑫8号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苏银理财恒源天添鑫8号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2025年05月23日</w:t>
      </w:r>
      <w:r>
        <w:rPr>
          <w:rFonts w:ascii="楷体" w:eastAsia="楷体" w:hAnsi="楷体" w:cs="楷体" w:hint="eastAsia"/>
        </w:rPr>
        <w:t xml:space="preserve">成立，于</w:t>
      </w:r>
      <w:r>
        <w:rPr>
          <w:rFonts w:ascii="楷体" w:eastAsia="楷体" w:hAnsi="楷体" w:cs="楷体" w:hint="eastAsia"/>
          <w:spacing w:val="-7"/>
        </w:rPr>
        <w:t xml:space="preserve">2025年05月23日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苏银理财恒源天添鑫8号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5,438,721,183.63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5,608,936,633.22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31000188000682415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5,609,071,417.37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苏银理财恒源天添鑫8号A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1.032269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1.032269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苏银理财恒源天添鑫8号F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苏银理财恒源天添鑫8号G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苏银理财恒源天添鑫8号H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17.45%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82.55%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17.45%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82.55%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1,085,658,886.43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285,399,729.47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农行南京东门街支行20231215/15亿</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228,656,384.29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中国农业银行股份有限公司扬州分行定期存款（一）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166,091,196.95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159,732,287.82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中国农业银行南京分行建邺支行定期存款（一）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159,675,543.19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农行沭阳支行20231215/10亿</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152,440,175.30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中国农业银行股份有限公司丹阳市支行定期存款（一）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141,244,390.73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137,031,081.59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135,408,753.69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42,048,608.00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157,262,067.00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49,667.31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3,552.61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12,124.33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180,000.00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5,438,721,183.63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23,129,432.34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维持总体平稳、结构分化的格局，“生产强、出口强、内需弱”，6月制造业PMI回升至50.3%，重回扩张区间，工业生产韧性凸显；TMT、高端制造行业出口保持双位数甚至三位数增长，但地产、固投及居民消费修复乏力，经济新旧动能呈现明显的K型分化特征。6月CPI同比1.0%，环比-0.3%，PPI同比4.1%，环比-0.3%，输入性因素有所消退，终端消费需求仍需提振。金融端总量平稳、结构偏弱，6月末M2同比8.6%、社融存量同比7.7%，流动性供给充裕，但信贷向实体传导效率偏弱，内需仍是经济修复主要短板。</w:t>
      </w:r>
      <w:r>
        <w:rPr>
          <w:rFonts w:ascii="楷体" w:eastAsia="楷体" w:hAnsi="楷体" w:cs="楷体" w:hint="eastAsia"/>
          <w:spacing w:val="8"/>
          <w:sz w:val="21"/>
        </w:rPr>
        <w:br/>
      </w:r>
      <w:r>
        <w:rPr>
          <w:rFonts w:ascii="楷体" w:eastAsia="楷体" w:hAnsi="楷体" w:cs="楷体" w:hint="eastAsia"/>
          <w:spacing w:val="8"/>
          <w:sz w:val="21"/>
        </w:rPr>
        <w:t xml:space="preserve">    货币政策方面维持稳健偏宽松的中性基调，央行灵活操作保障银行体系流动性合理充裕，市场整体资金面整体平稳，季末央行推出隔夜逆回购政策工具，维持跨季资金面稳定。二季度债市整体震荡走牛，6月初受资金面边际收敛、市场止盈情绪影响小幅调整，利率债受益于弱复苏+宽松流动性持续走强，1年国债收益率下行10bp至1.12%，5年国债收益率下行10bp至1.44%，10年期国债收益率下行9bp至1.73%，30年期国债收益率下行11bp至2.24%。高等级信用债利差持续压缩。存单方面，1年期同业存单下破1.5%，最低下探至1.4275%，而后随着6月资金面收紧迅速反弹至1.50%，而后下行，在1.45-1.50%之间窄幅震荡。</w:t>
      </w:r>
      <w:r>
        <w:rPr>
          <w:rFonts w:ascii="楷体" w:eastAsia="楷体" w:hAnsi="楷体" w:cs="楷体" w:hint="eastAsia"/>
          <w:spacing w:val="8"/>
          <w:sz w:val="21"/>
        </w:rPr>
        <w:br/>
      </w:r>
      <w:r>
        <w:rPr>
          <w:rFonts w:ascii="楷体" w:eastAsia="楷体" w:hAnsi="楷体" w:cs="楷体" w:hint="eastAsia"/>
          <w:spacing w:val="8"/>
          <w:sz w:val="21"/>
        </w:rPr>
        <w:t xml:space="preserve">    本产品以存款、回购等低波资产筑底，配置部分优质高评级信用债券，合理控制久期，适时参与确定性较强的存单、短债等品种的交易机会，严控回撤，兼顾低风险偏好和收益性。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国内经济正处于新旧动能转换的换挡期，宏观政策延续结构性发力基调，财政端精准聚焦“两重”“两新”托底实体，货币端维持流动性合理充裕，债市预计将延续窄幅震荡格局，票息仍为核心收益来源。关注7月末政治局会议是否有增量政策出台，以及国债、地方政府债的发行节奏、资金面的边际变化带来的波段交易机会。我们也将紧密跟踪国内外经济形势和政策变化，加强投资分析研究，继续采取低波动、强稳健的投资策略，加强久期管理和流动性管理，保持合理弹性，严格控制回撤，通过精细化的资产配置、头寸管理和风险控制，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2026-07-17T01:52:48Z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