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1"/>
          <w:sz w:val="36"/>
          <w:szCs w:val="36"/>
        </w:rPr>
        <w:t xml:space="preserve">苏银理财恒源封闭三年鑫利12期</w:t>
      </w:r>
      <w:bookmarkStart w:id="0" w:name="_GoBack"/>
      <w:bookmarkEnd w:id="0"/>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2026年二季度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苏银理财恒源封闭三年鑫利12期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2024年06月04日</w:t>
      </w:r>
      <w:r>
        <w:rPr>
          <w:rFonts w:ascii="楷体" w:eastAsia="楷体" w:hAnsi="楷体" w:cs="楷体" w:hint="eastAsia"/>
        </w:rPr>
        <w:t xml:space="preserve">成立，于</w:t>
      </w:r>
      <w:r>
        <w:rPr>
          <w:rFonts w:ascii="楷体" w:eastAsia="楷体" w:hAnsi="楷体" w:cs="楷体" w:hint="eastAsia"/>
          <w:spacing w:val="-7"/>
        </w:rPr>
        <w:t xml:space="preserve">2024年06月04日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1" w:name="_Toc535504139"/>
      <w:r>
        <w:rPr>
          <w:rFonts w:ascii="楷体" w:eastAsia="楷体" w:hAnsi="楷体" w:cs="楷体" w:hint="eastAsia"/>
        </w:rPr>
        <w:t xml:space="preserve">、产品基本情况</w:t>
      </w:r>
      <w:bookmarkEnd w:id="1"/>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苏银理财恒源封闭三年鑫利12期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Z7003124000078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60,257,735.00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60,386,504.95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31000188000591195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60,398,734.20</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100.02%</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苏银理财恒源封闭三年鑫利12期</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1.002136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1.062802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3.00%-3.30%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44.46%</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55.54%</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商品及金融衍生品类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混合类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44.46%</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55.54%</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杭州工商信托-玖盈103号-西湖城建-二期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14,003,463.51</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23.18%</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杭州工商信托-玖盈103号-富阳交通-二期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13,998,408.84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23.18%</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24海安01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5,109,652.86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8.46%</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24连工02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5,083,462.12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8.42%</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24财通02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5,081,504.63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8.41%</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24海工01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5,070,303.33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8.39%</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24丰镇01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5,066,421.75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8.39%</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1,796,005.94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2.97%</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26交通银行CD132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307,076.23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0.51%</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222,507.01</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0.37%</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杭州西湖城市建设投资集团有限公司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杭州工商信托-玖盈103号-西湖城建-二期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314</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14,000,000.00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杭州富阳交通发展投资集团有限公司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杭州工商信托-玖盈103号-富阳交通-二期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314</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14,000,000.00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杭州西湖城市建设投资集团有限公司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2004-01-05</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3,000,000,000.00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服务:城市基础设施建设(凭资质证经营),代建由政府有关职能部门授权的农转居多层公寓和经济适用房;批发、零售:建筑材料;其他无需报经审批的一切合法项目。</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杭州富阳交通发展投资集团有限公司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15,024.60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3,049.01</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60,257,735.00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60,257,735.00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2026年二季度，国内债券市场整体震荡走强，弱复苏基本面与宽松流动性形成共振，“资产荒”逻辑持续主导市场配置行为。基本面维度，经济修复斜率平缓，制造业 PMI 在荣枯线附近波动，地产、消费修复节奏不及预期，稳增长政策以托底为主、未推出强刺激措施，为债市提供了稳固的基本面支撑。货币政策保持稳健偏松基调，央行通过公开市场操作精准呵护流动性。利率债方面，10年期国债收益率中枢较一季度末下行，整体呈“先下后窄幅震荡”走势，长端表现优于短端，收益率曲线小幅平坦化。信用债市场延续利差压缩行情，中高等级城投债、商业银行二永债是配置核心，主流品种信用利差收窄至历史低位，全市场违约率维持低位。</w:t>
      </w:r>
      <w:r>
        <w:rPr>
          <w:rFonts w:ascii="楷体" w:eastAsia="楷体" w:hAnsi="楷体" w:cs="楷体" w:hint="eastAsia"/>
          <w:spacing w:val="8"/>
          <w:sz w:val="21"/>
        </w:rPr>
        <w:br/>
      </w:r>
      <w:r>
        <w:rPr>
          <w:rFonts w:ascii="楷体" w:eastAsia="楷体" w:hAnsi="楷体" w:cs="楷体" w:hint="eastAsia"/>
          <w:spacing w:val="8"/>
          <w:sz w:val="21"/>
        </w:rPr>
        <w:t xml:space="preserve">    报告期内，本产品坚持以固收类资产为核心配置，重点布局优质中高等级信用债资产。投资运作中，深度研判宏观市场环境、债券市场供需格局、政策导向及信用风险演化趋势，主动构建并动态优化投资组合，在守住风险底线的前提下力争挖掘超额收益。基于对利率走势的前瞻性判断，灵活调整组合久期水平，统筹平衡收益弹性与利率波动风险，提升组合对不同市场环境的适配性。</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下半年，国内债券市场预计维持偏强震荡格局，整体机会大于风险。从基本面上看，经济弱修复的大基调难改，地产链修复乏力、消费回暖斜率偏低，内生增长动能仍有不确定性，通胀整体维持低位，基本面对债市的支撑仍在；预计货币政策将延续稳健偏松取向，央行通过公开市场操作精准呵护流动性，资金中枢保持低位运行，为市场提供稳定的套息空间。信用端“资产荒”逻辑仍将延续，中高等级信用债、银行二永债仍具配置性价比，但信用分层态势持续，弱资质区域与主体的尾部风险仍需严格规避。整体来看，下半年债市仍以票息策略为安全底仓，可灵活调整久期把握利率波段机会，兼顾收益弹性与风险防控。债市利多因素逐步累积。</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管理人始终将流动性风险管理置于投资管理工作的核心位置。报告期内，产品从资产配置、风险监控和压力测试等多个维度，对产品的流动性风险进行了严格管控。本产品持仓资产以优质信用债资产为主，变现能力较强，同时注重调优持仓结构，确保流动性处于合理水平。</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3371"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3373"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3374"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3376"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2026-07-02T02:30:03Z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Office_11.8.2.11734_F1E327BC-269C-435d-A152-05C5408002CA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22</cp:revision>
  <dcterms:created xsi:type="dcterms:W3CDTF">2021-11-18T10:04:00Z</dcterms:created>
  <dcterms:modified xsi:type="dcterms:W3CDTF">2026-07-17T02:07:02Z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