
<file path=[Content_Types].xml><?xml version="1.0" encoding="utf-8"?>
<Types xmlns="http://schemas.openxmlformats.org/package/2006/content-types">
  <Default ContentType="image/bmp" Extension="bmp"/>
  <Default ContentType="image/gif" Extension="gif"/>
  <Default ContentType="image/jpeg" Extension="jfif"/>
  <Default ContentType="image/jpeg" Extension="jpe"/>
  <Default ContentType="image/jpeg" Extension="jpeg"/>
  <Default ContentType="image/jpeg" Extension="jpg"/>
  <Default ContentType="image/png" Extension="png"/>
  <Default ContentType="application/vnd.openxmlformats-package.relationships+xml" Extension="rels"/>
  <Default ContentType="image/tiff" Extension="tif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华文中宋" w:cs="华文中宋" w:eastAsia="华文中宋" w:hAnsi="华文中宋" w:hint="eastAsia"/>
          <w:sz w:val="36"/>
          <w:szCs w:val="36"/>
        </w:rPr>
      </w:pPr>
      <w:r>
        <w:rPr>
          <w:rFonts w:ascii="黑体" w:cs="黑体" w:eastAsia="黑体" w:hAnsi="黑体" w:hint="eastAsia"/>
          <w:b/>
          <w:bCs/>
          <w:sz w:val="36"/>
          <w:szCs w:val="36"/>
          <w:lang w:eastAsia="zh-CN"/>
        </w:rPr>
        <w:t>幸福99添益（年年红）1年定开型2515期理财</w:t>
      </w:r>
      <w:r>
        <w:rPr>
          <w:rFonts w:ascii="黑体" w:cs="黑体" w:eastAsia="黑体" w:hAnsi="黑体" w:hint="eastAsia"/>
          <w:b/>
          <w:bCs/>
          <w:sz w:val="36"/>
          <w:szCs w:val="36"/>
        </w:rPr>
        <w:t>分红公告</w:t>
      </w:r>
    </w:p>
    <w:p>
      <w:pPr>
        <w:jc w:val="left"/>
        <w:rPr>
          <w:rFonts w:ascii="仿宋_GB2312" w:cs="仿宋_GB2312" w:eastAsia="仿宋_GB2312" w:hAnsi="仿宋_GB2312" w:hint="eastAsia"/>
          <w:sz w:val="30"/>
          <w:szCs w:val="30"/>
        </w:rPr>
      </w:pPr>
    </w:p>
    <w:p>
      <w:pPr>
        <w:jc w:val="left"/>
        <w:rPr>
          <w:rFonts w:ascii="宋体" w:cs="宋体" w:eastAsia="宋体" w:hAnsi="宋体" w:hint="eastAsia"/>
          <w:sz w:val="30"/>
          <w:szCs w:val="30"/>
        </w:rPr>
      </w:pPr>
      <w:r>
        <w:rPr>
          <w:rFonts w:ascii="宋体" w:cs="宋体" w:eastAsia="宋体" w:hAnsi="宋体" w:hint="eastAsia"/>
          <w:sz w:val="30"/>
          <w:szCs w:val="30"/>
        </w:rPr>
        <w:t xml:space="preserve">尊敬的投资者： </w:t>
      </w:r>
    </w:p>
    <w:p>
      <w:pPr>
        <w:ind w:firstLine="600" w:firstLineChars="200"/>
        <w:jc w:val="left"/>
        <w:rPr>
          <w:rFonts w:ascii="宋体" w:cs="宋体" w:eastAsia="宋体" w:hAnsi="宋体" w:hint="eastAsia"/>
          <w:sz w:val="30"/>
          <w:szCs w:val="30"/>
        </w:rPr>
      </w:pPr>
      <w:r>
        <w:rPr>
          <w:rFonts w:ascii="宋体" w:cs="宋体" w:eastAsia="宋体" w:hAnsi="宋体" w:hint="eastAsia"/>
          <w:sz w:val="30"/>
          <w:szCs w:val="30"/>
          <w:lang w:eastAsia="zh-CN"/>
        </w:rPr>
        <w:t>幸福99添益（年年红）1年定开型2515期理财</w:t>
      </w:r>
      <w:r>
        <w:rPr>
          <w:rFonts w:ascii="宋体" w:cs="宋体" w:eastAsia="宋体" w:hAnsi="宋体" w:hint="eastAsia"/>
          <w:sz w:val="30"/>
          <w:szCs w:val="30"/>
          <w:lang w:eastAsia="zh-CN" w:val="en-US"/>
        </w:rPr>
        <w:t>于近期进行红利分配，</w:t>
      </w:r>
      <w:r>
        <w:rPr>
          <w:rFonts w:ascii="宋体" w:cs="宋体" w:eastAsia="宋体" w:hAnsi="宋体" w:hint="eastAsia"/>
          <w:sz w:val="30"/>
          <w:szCs w:val="30"/>
        </w:rPr>
        <w:t>本次分</w:t>
      </w:r>
      <w:r>
        <w:rPr>
          <w:rFonts w:ascii="宋体" w:cs="宋体" w:eastAsia="宋体" w:hAnsi="宋体" w:hint="eastAsia"/>
          <w:sz w:val="30"/>
          <w:szCs w:val="30"/>
          <w:lang w:eastAsia="zh-CN" w:val="en-US"/>
        </w:rPr>
        <w:t>红</w:t>
      </w:r>
      <w:r>
        <w:rPr>
          <w:rFonts w:ascii="宋体" w:cs="宋体" w:eastAsia="宋体" w:hAnsi="宋体" w:hint="eastAsia"/>
          <w:sz w:val="30"/>
          <w:szCs w:val="30"/>
        </w:rPr>
        <w:t>方案</w:t>
      </w:r>
      <w:r>
        <w:rPr>
          <w:rFonts w:ascii="宋体" w:cs="宋体" w:eastAsia="宋体" w:hAnsi="宋体" w:hint="eastAsia"/>
          <w:sz w:val="30"/>
          <w:szCs w:val="30"/>
          <w:lang w:eastAsia="zh-CN" w:val="en-US"/>
        </w:rPr>
        <w:t>具体</w:t>
      </w:r>
      <w:r>
        <w:rPr>
          <w:rFonts w:ascii="宋体" w:cs="宋体" w:eastAsia="宋体" w:hAnsi="宋体" w:hint="eastAsia"/>
          <w:sz w:val="30"/>
          <w:szCs w:val="30"/>
        </w:rPr>
        <w:t>如下：</w:t>
      </w:r>
    </w:p>
    <w:tbl>
      <w:tblPr>
        <w:tblStyle w:val="8"/>
        <w:tblW w:type="dxa" w:w="8324"/>
        <w:tblInd w:type="dxa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2581"/>
        <w:gridCol w:w="5743"/>
      </w:tblGrid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567"/>
        </w:trPr>
        <w:tc>
          <w:tcPr>
            <w:tcW w:type="dxa" w:w="2581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  <w:t>产品代码</w:t>
            </w:r>
          </w:p>
        </w:tc>
        <w:tc>
          <w:tcPr>
            <w:tcW w:type="dxa" w:w="5743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val="en-US"/>
              </w:rPr>
              <w:t>TYG12M2515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567"/>
        </w:trPr>
        <w:tc>
          <w:tcPr>
            <w:tcW w:type="dxa" w:w="2581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  <w:t>产品名称</w:t>
            </w:r>
          </w:p>
        </w:tc>
        <w:tc>
          <w:tcPr>
            <w:tcW w:type="dxa" w:w="5743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/>
              </w:rPr>
              <w:t>幸福99添益（年年红）1年定开型2515期理财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567"/>
        </w:trPr>
        <w:tc>
          <w:tcPr>
            <w:tcW w:type="dxa" w:w="2581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  <w:t>产品登记编码</w:t>
            </w:r>
          </w:p>
        </w:tc>
        <w:tc>
          <w:tcPr>
            <w:tcW w:type="dxa" w:w="5743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/>
              </w:rPr>
              <w:t>Z7002225000093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567"/>
        </w:trPr>
        <w:tc>
          <w:tcPr>
            <w:tcW w:type="dxa" w:w="2581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  <w:t>产品成立日</w:t>
            </w:r>
          </w:p>
        </w:tc>
        <w:tc>
          <w:tcPr>
            <w:tcW w:type="dxa" w:w="5743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/>
              </w:rPr>
              <w:t>2025-04-30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567"/>
        </w:trPr>
        <w:tc>
          <w:tcPr>
            <w:tcW w:type="dxa" w:w="2581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  <w:t>收益分配基准日</w:t>
            </w:r>
          </w:p>
        </w:tc>
        <w:tc>
          <w:tcPr>
            <w:tcW w:type="dxa" w:w="5743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/>
              </w:rPr>
              <w:t>2026-05-20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567"/>
        </w:trPr>
        <w:tc>
          <w:tcPr>
            <w:tcW w:type="dxa" w:w="2581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  <w:t>分红方式</w:t>
            </w:r>
          </w:p>
        </w:tc>
        <w:tc>
          <w:tcPr>
            <w:tcW w:type="dxa" w:w="5743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/>
              </w:rPr>
              <w:t>现金分红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567"/>
        </w:trPr>
        <w:tc>
          <w:tcPr>
            <w:tcW w:type="dxa" w:w="8324"/>
            <w:gridSpan w:val="2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 w:val="en-US"/>
              </w:rPr>
              <w:t>分配方案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567"/>
        </w:trPr>
        <w:tc>
          <w:tcPr>
            <w:tcW w:type="dxa" w:w="2581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  <w:t>销售代码</w:t>
            </w:r>
          </w:p>
        </w:tc>
        <w:tc>
          <w:tcPr>
            <w:tcW w:type="dxa" w:w="5743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 w:val="en-US"/>
              </w:rPr>
              <w:t>每万份理财份额分配红利（</w:t>
            </w:r>
            <w:r>
              <w:rPr>
                <w:rFonts w:ascii="宋体" w:cs="宋体" w:eastAsia="宋体" w:hAnsi="宋体" w:hint="default"/>
                <w:sz w:val="24"/>
                <w:szCs w:val="24"/>
                <w:vertAlign w:val="baseline"/>
                <w:lang w:eastAsia="zh-CN"/>
              </w:rPr>
              <w:t>人民币元</w:t>
            </w:r>
            <w:bookmarkStart w:id="0" w:name="_GoBack"/>
            <w:bookmarkEnd w:id="0"/>
            <w:r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 w:val="en-US"/>
              </w:rPr>
              <w:t>）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567"/>
        </w:trPr>
        <w:tc>
          <w:tcPr>
            <w:tcW w:type="dxa" w:w="2581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/>
              </w:rPr>
              <w:t>TYG12M2515A</w:t>
            </w:r>
          </w:p>
        </w:tc>
        <w:tc>
          <w:tcPr>
            <w:tcW w:type="dxa" w:w="5743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/>
              </w:rPr>
              <w:t>305.03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567"/>
        </w:trPr>
        <w:tc>
          <w:tcPr>
            <w:tcW w:type="dxa" w:w="2581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/>
              </w:rPr>
              <w:t>TYG12M2515B</w:t>
            </w:r>
          </w:p>
        </w:tc>
        <w:tc>
          <w:tcPr>
            <w:tcW w:type="dxa" w:w="5743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/>
              </w:rPr>
              <w:t>315.34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567"/>
        </w:trPr>
        <w:tc>
          <w:tcPr>
            <w:tcW w:type="dxa" w:w="2581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lang w:eastAsia="zh-CN"/>
              </w:rPr>
              <w:t>TYG12M2515L</w:t>
            </w:r>
          </w:p>
        </w:tc>
        <w:tc>
          <w:tcPr>
            <w:tcW w:type="dxa" w:w="5743"/>
            <w:vAlign w:val="center"/>
          </w:tcPr>
          <w:p>
            <w:pPr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 w:val="en-US"/>
              </w:rPr>
            </w:pPr>
            <w:r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/>
              </w:rPr>
              <w:t>326.47</w:t>
            </w:r>
          </w:p>
        </w:tc>
      </w:tr>
    </w:tbl>
    <w:p>
      <w:pPr>
        <w:ind w:firstLine="420" w:firstLineChars="0"/>
        <w:jc w:val="left"/>
        <w:rPr>
          <w:rFonts w:ascii="宋体" w:cs="宋体" w:eastAsia="宋体" w:hAnsi="宋体" w:hint="eastAsia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</w:rPr>
        <w:t>注：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>因红利金额计算过程涉及四舍五入，</w:t>
      </w:r>
      <w:r>
        <w:rPr>
          <w:rFonts w:ascii="宋体" w:cs="宋体" w:eastAsia="宋体" w:hAnsi="宋体" w:hint="eastAsia"/>
          <w:sz w:val="24"/>
          <w:szCs w:val="24"/>
        </w:rPr>
        <w:t>实际</w:t>
      </w:r>
      <w:r>
        <w:rPr>
          <w:rFonts w:ascii="宋体" w:cs="宋体" w:eastAsia="宋体" w:hAnsi="宋体" w:hint="eastAsia"/>
          <w:sz w:val="24"/>
          <w:szCs w:val="24"/>
          <w:lang w:eastAsia="zh-CN" w:val="en-US"/>
        </w:rPr>
        <w:t>分红收益</w:t>
      </w:r>
      <w:r>
        <w:rPr>
          <w:rFonts w:ascii="宋体" w:cs="宋体" w:eastAsia="宋体" w:hAnsi="宋体" w:hint="eastAsia"/>
          <w:sz w:val="24"/>
          <w:szCs w:val="24"/>
        </w:rPr>
        <w:t>以实际到账金额为准。</w:t>
      </w:r>
    </w:p>
    <w:p>
      <w:pPr>
        <w:ind w:firstLine="600" w:firstLineChars="200"/>
        <w:jc w:val="left"/>
        <w:rPr>
          <w:rFonts w:ascii="宋体" w:cs="宋体" w:eastAsia="宋体" w:hAnsi="宋体" w:hint="eastAsia"/>
          <w:sz w:val="30"/>
          <w:szCs w:val="30"/>
          <w:lang w:eastAsia="zh-CN" w:val="en-US"/>
        </w:rPr>
      </w:pPr>
      <w:r>
        <w:rPr>
          <w:rFonts w:ascii="宋体" w:cs="宋体" w:eastAsia="宋体" w:hAnsi="宋体" w:hint="eastAsia"/>
          <w:sz w:val="30"/>
          <w:szCs w:val="30"/>
        </w:rPr>
        <w:t>本次分配的红利将于</w:t>
      </w:r>
      <w:r>
        <w:rPr>
          <w:rFonts w:ascii="宋体" w:cs="宋体" w:eastAsia="宋体" w:hAnsi="宋体" w:hint="eastAsia"/>
          <w:sz w:val="30"/>
          <w:szCs w:val="30"/>
          <w:lang w:eastAsia="zh-CN"/>
        </w:rPr>
        <w:t>2026年5月20日</w:t>
      </w:r>
      <w:r>
        <w:rPr>
          <w:rFonts w:ascii="宋体" w:cs="宋体" w:eastAsia="宋体" w:hAnsi="宋体" w:hint="eastAsia"/>
          <w:sz w:val="30"/>
          <w:szCs w:val="30"/>
          <w:lang w:eastAsia="zh-CN" w:val="en-US"/>
        </w:rPr>
        <w:t>24:00前清算至代销机构，具体到账时间请以代销机构清算时间为准。请投资者做好资金安排。</w:t>
      </w:r>
    </w:p>
    <w:p>
      <w:pPr>
        <w:ind w:firstLine="600" w:firstLineChars="200"/>
        <w:jc w:val="left"/>
        <w:rPr>
          <w:rFonts w:ascii="宋体" w:cs="宋体" w:eastAsia="宋体" w:hAnsi="宋体" w:hint="eastAsia"/>
          <w:sz w:val="30"/>
          <w:szCs w:val="30"/>
          <w:lang w:eastAsia="zh-CN" w:val="en-US"/>
        </w:rPr>
      </w:pPr>
    </w:p>
    <w:p>
      <w:pPr>
        <w:ind w:firstLine="600" w:firstLineChars="200"/>
        <w:jc w:val="left"/>
        <w:rPr>
          <w:rFonts w:ascii="宋体" w:cs="宋体" w:eastAsia="宋体" w:hAnsi="宋体" w:hint="eastAsia"/>
          <w:sz w:val="30"/>
          <w:szCs w:val="30"/>
        </w:rPr>
      </w:pPr>
    </w:p>
    <w:p>
      <w:pPr>
        <w:ind w:firstLine="600" w:firstLineChars="200"/>
        <w:jc w:val="right"/>
        <w:rPr>
          <w:rFonts w:ascii="宋体" w:cs="宋体" w:eastAsia="宋体" w:hAnsi="宋体" w:hint="eastAsia"/>
          <w:sz w:val="30"/>
          <w:szCs w:val="30"/>
        </w:rPr>
      </w:pPr>
      <w:r>
        <w:rPr>
          <w:rFonts w:ascii="宋体" w:cs="宋体" w:eastAsia="宋体" w:hAnsi="宋体" w:hint="eastAsia"/>
          <w:sz w:val="30"/>
          <w:szCs w:val="30"/>
        </w:rPr>
        <w:t xml:space="preserve">杭银理财有限责任公司 </w:t>
      </w:r>
    </w:p>
    <w:p>
      <w:pPr>
        <w:ind w:firstLine="600" w:firstLineChars="200"/>
        <w:jc w:val="right"/>
        <w:rPr>
          <w:rFonts w:ascii="宋体" w:cs="宋体" w:eastAsia="宋体" w:hAnsi="宋体" w:hint="eastAsia"/>
          <w:color w:val="0070C0"/>
          <w:sz w:val="30"/>
          <w:szCs w:val="30"/>
          <w:lang w:eastAsia="zh-CN"/>
        </w:rPr>
      </w:pPr>
      <w:r>
        <w:rPr>
          <w:rFonts w:ascii="宋体" w:cs="宋体" w:eastAsia="宋体" w:hAnsi="宋体" w:hint="eastAsia"/>
          <w:sz w:val="30"/>
          <w:szCs w:val="30"/>
          <w:lang w:eastAsia="zh-CN"/>
        </w:rPr>
        <w:t>2026年5月20日</w:t>
      </w:r>
    </w:p>
    <w:p>
      <w:pPr>
        <w:widowControl/>
        <w:jc w:val="both"/>
      </w:pPr>
    </w:p>
    <w:sectPr>
      <w:headerReference r:id="rId3" w:type="default"/>
      <w:pgSz w:h="16838" w:w="11906"/>
      <w:pgMar w:bottom="2551" w:footer="992" w:gutter="0" w:header="851" w:left="1803" w:right="1803" w:top="2551"/>
      <w:cols w:num="1" w:space="0"/>
      <w:docGrid w:charSpace="0" w:linePitch="317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allowOverlap="1" behindDoc="1" distB="0" distL="114300" distR="114300" distT="0" layoutInCell="1" locked="0" relativeHeight="25165824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b="15240" l="0" r="0" t="0"/>
          <wp:wrapNone/>
          <wp:docPr descr="微信图片_20220817144322" id="5" name="WordPictureWatermark140627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微信图片_20220817144322" id="5" name="WordPictureWatermark140627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psCustomData="http://www.wps.cn/officeDocument/2013/wpsCustomData" mc:Ignorable="w14">
  <w:zoom w:percent="130"/>
  <w:embedSystemFonts/>
  <w:bordersDoNotSurroundHeader w:val="true"/>
  <w:bordersDoNotSurroundFooter w:val="true"/>
  <w:hideSpellingErrors/>
  <w:hideGrammaticalError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lY2ZiYmExOWJmOTY5NWFmNzQwOWFhNmE0ZjgxMTMifQ=="/>
  </w:docVars>
  <w:rsids>
    <w:rsidRoot w:val="6687052B"/>
    <w:rsid w:val="00040F12"/>
    <w:rsid w:val="00076F95"/>
    <w:rsid w:val="000B5C80"/>
    <w:rsid w:val="00123A32"/>
    <w:rsid w:val="00182547"/>
    <w:rsid w:val="001E34DE"/>
    <w:rsid w:val="00216866"/>
    <w:rsid w:val="00251162"/>
    <w:rsid w:val="002979BD"/>
    <w:rsid w:val="00374B44"/>
    <w:rsid w:val="00386722"/>
    <w:rsid w:val="003B478B"/>
    <w:rsid w:val="003B5EA1"/>
    <w:rsid w:val="00573F61"/>
    <w:rsid w:val="00632F14"/>
    <w:rsid w:val="006A11F6"/>
    <w:rsid w:val="006F1E86"/>
    <w:rsid w:val="00800AAF"/>
    <w:rsid w:val="008E2414"/>
    <w:rsid w:val="00941ACB"/>
    <w:rsid w:val="00970427"/>
    <w:rsid w:val="009C52F4"/>
    <w:rsid w:val="00B00500"/>
    <w:rsid w:val="00B0716D"/>
    <w:rsid w:val="00BB6E73"/>
    <w:rsid w:val="00C822CD"/>
    <w:rsid w:val="00D00D6A"/>
    <w:rsid w:val="00D01161"/>
    <w:rsid w:val="00DB32F4"/>
    <w:rsid w:val="00DD583F"/>
    <w:rsid w:val="00F25FAF"/>
    <w:rsid w:val="00F43942"/>
    <w:rsid w:val="01632288"/>
    <w:rsid w:val="023B73FD"/>
    <w:rsid w:val="035E6A6E"/>
    <w:rsid w:val="04EF499C"/>
    <w:rsid w:val="06090E49"/>
    <w:rsid w:val="086F3434"/>
    <w:rsid w:val="09D5040F"/>
    <w:rsid w:val="0AA12391"/>
    <w:rsid w:val="0C760411"/>
    <w:rsid w:val="0FAD1E3A"/>
    <w:rsid w:val="0FE05E22"/>
    <w:rsid w:val="0FFB2C2E"/>
    <w:rsid w:val="14064585"/>
    <w:rsid w:val="144D2883"/>
    <w:rsid w:val="161D7C87"/>
    <w:rsid w:val="169966B8"/>
    <w:rsid w:val="1774510A"/>
    <w:rsid w:val="192E28D5"/>
    <w:rsid w:val="1B395CAB"/>
    <w:rsid w:val="1DE30B4B"/>
    <w:rsid w:val="1E9A3ACF"/>
    <w:rsid w:val="1EF87BD2"/>
    <w:rsid w:val="1FB466A7"/>
    <w:rsid w:val="1FCB4E7D"/>
    <w:rsid w:val="212E6400"/>
    <w:rsid w:val="216138F2"/>
    <w:rsid w:val="21F964F5"/>
    <w:rsid w:val="22291B40"/>
    <w:rsid w:val="22680F97"/>
    <w:rsid w:val="227F642E"/>
    <w:rsid w:val="23E23118"/>
    <w:rsid w:val="252937ED"/>
    <w:rsid w:val="26CE5261"/>
    <w:rsid w:val="26F22D0A"/>
    <w:rsid w:val="28362D7D"/>
    <w:rsid w:val="29A34A1D"/>
    <w:rsid w:val="2B2B5DF9"/>
    <w:rsid w:val="2B991B88"/>
    <w:rsid w:val="2EDF0E96"/>
    <w:rsid w:val="2F1871F2"/>
    <w:rsid w:val="2F294853"/>
    <w:rsid w:val="2FC14D08"/>
    <w:rsid w:val="30E359F4"/>
    <w:rsid w:val="32C46370"/>
    <w:rsid w:val="35286DA6"/>
    <w:rsid w:val="38921940"/>
    <w:rsid w:val="3D4A7245"/>
    <w:rsid w:val="3E692474"/>
    <w:rsid w:val="3E834198"/>
    <w:rsid w:val="3F4D0D7F"/>
    <w:rsid w:val="41F371BC"/>
    <w:rsid w:val="4273183E"/>
    <w:rsid w:val="446E5366"/>
    <w:rsid w:val="456D2AD8"/>
    <w:rsid w:val="467D220C"/>
    <w:rsid w:val="468E71F3"/>
    <w:rsid w:val="472C02DC"/>
    <w:rsid w:val="4A4D08B6"/>
    <w:rsid w:val="4BB54F8B"/>
    <w:rsid w:val="50270C90"/>
    <w:rsid w:val="50356190"/>
    <w:rsid w:val="50A20A38"/>
    <w:rsid w:val="51475EBB"/>
    <w:rsid w:val="54D44304"/>
    <w:rsid w:val="55072DFB"/>
    <w:rsid w:val="55167E68"/>
    <w:rsid w:val="557F18F4"/>
    <w:rsid w:val="55E447C3"/>
    <w:rsid w:val="57251378"/>
    <w:rsid w:val="57D7577C"/>
    <w:rsid w:val="57F43A1C"/>
    <w:rsid w:val="5B2F104F"/>
    <w:rsid w:val="5BFE1262"/>
    <w:rsid w:val="5E085CFB"/>
    <w:rsid w:val="5EC66559"/>
    <w:rsid w:val="60C55E6C"/>
    <w:rsid w:val="62455DB3"/>
    <w:rsid w:val="62576867"/>
    <w:rsid w:val="6404319E"/>
    <w:rsid w:val="64381403"/>
    <w:rsid w:val="65D24C58"/>
    <w:rsid w:val="6687052B"/>
    <w:rsid w:val="67EC6F4F"/>
    <w:rsid w:val="680375CC"/>
    <w:rsid w:val="68F17FDC"/>
    <w:rsid w:val="699A099A"/>
    <w:rsid w:val="6A8B3349"/>
    <w:rsid w:val="6A9B6989"/>
    <w:rsid w:val="6DD2217A"/>
    <w:rsid w:val="6E683E61"/>
    <w:rsid w:val="6FAE51B6"/>
    <w:rsid w:val="701E6454"/>
    <w:rsid w:val="7107423D"/>
    <w:rsid w:val="74790878"/>
    <w:rsid w:val="76654E07"/>
    <w:rsid w:val="76E67429"/>
    <w:rsid w:val="78FB4CF4"/>
    <w:rsid w:val="79E32EAD"/>
    <w:rsid w:val="7B4A3932"/>
    <w:rsid w:val="7C90559F"/>
    <w:rsid w:val="7D875343"/>
    <w:rsid w:val="7EF7C949"/>
    <w:rsid w:val="F7B383A8"/>
    <w:rsid w:val="FFFEE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</w:settings>
</file>

<file path=word/styles.xml><?xml version="1.0" encoding="utf-8"?>
<w:style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psCustomData="http://www.wps.cn/officeDocument/2013/wpsCustomData" mc:Ignorable="w14">
  <w:docDefaults>
    <w:rPrDefault>
      <w:rPr>
        <w:rFonts w:ascii="Calibri" w:cs="Times New Roman" w:eastAsia="宋体" w:hAnsi="Calibri"/>
      </w:rPr>
    </w:rPrDefault>
  </w:docDefaults>
  <w:latentStyles w:count="260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/>
    <w:lsdException w:name="heading 3" w:qFormat="1" w:semiHidden="0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qFormat="1" w:semiHidden="0" w:uiPriority="0" w:unhideWhenUsed="0"/>
    <w:lsdException w:name="footer" w:qFormat="1" w:semiHidden="0" w:uiPriority="0" w:unhideWhenUsed="0"/>
    <w:lsdException w:name="index heading" w:semiHidden="0" w:uiPriority="0" w:unhideWhenUsed="0"/>
    <w:lsdException w:name="caption" w:qFormat="1" w:uiPriority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qFormat="1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qFormat="1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qFormat="1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 w:uiPriority="99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qFormat="1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default="1" w:styleId="1" w:type="paragraph">
    <w:name w:val="Normal"/>
    <w:qFormat/>
    <w:uiPriority w:val="0"/>
    <w:pPr>
      <w:widowControl w:val="0"/>
      <w:jc w:val="both"/>
    </w:pPr>
    <w:rPr>
      <w:rFonts w:asciiTheme="minorHAnsi" w:cstheme="minorBidi" w:eastAsiaTheme="minorEastAsia" w:hAnsiTheme="minorHAnsi"/>
      <w:kern w:val="2"/>
      <w:sz w:val="21"/>
      <w:szCs w:val="24"/>
      <w:lang w:bidi="ar-SA" w:eastAsia="zh-CN" w:val="en-US"/>
    </w:rPr>
  </w:style>
  <w:style w:styleId="2" w:type="paragraph">
    <w:name w:val="heading 1"/>
    <w:basedOn w:val="1"/>
    <w:next w:val="1"/>
    <w:qFormat/>
    <w:uiPriority w:val="0"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styleId="3" w:type="paragraph">
    <w:name w:val="heading 2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styleId="4" w:type="paragraph">
    <w:name w:val="heading 3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default="1" w:styleId="9" w:type="character">
    <w:name w:val="Default Paragraph Font"/>
    <w:semiHidden/>
    <w:unhideWhenUsed/>
    <w:qFormat/>
    <w:uiPriority w:val="1"/>
  </w:style>
  <w:style w:default="1" w:styleId="7" w:type="table">
    <w:name w:val="Normal Table"/>
    <w:semiHidden/>
    <w:unhideWhenUsed/>
    <w:qFormat/>
    <w:uiPriority w:val="99"/>
    <w:tblPr>
      <w:tblCellMar>
        <w:top w:type="dxa" w:w="0"/>
        <w:left w:type="dxa" w:w="108"/>
        <w:bottom w:type="dxa" w:w="0"/>
        <w:right w:type="dxa" w:w="108"/>
      </w:tblCellMar>
    </w:tblPr>
  </w:style>
  <w:style w:styleId="5" w:type="paragraph">
    <w:name w:val="footer"/>
    <w:basedOn w:val="1"/>
    <w:qFormat/>
    <w:uiPriority w:val="0"/>
    <w:pPr>
      <w:tabs>
        <w:tab w:pos="4153" w:val="center"/>
        <w:tab w:pos="8306" w:val="right"/>
      </w:tabs>
      <w:snapToGrid w:val="0"/>
      <w:jc w:val="left"/>
    </w:pPr>
    <w:rPr>
      <w:sz w:val="18"/>
    </w:rPr>
  </w:style>
  <w:style w:styleId="6" w:type="paragraph">
    <w:name w:val="header"/>
    <w:basedOn w:val="1"/>
    <w:qFormat/>
    <w:uiPriority w:val="0"/>
    <w:pPr>
      <w:pBdr>
        <w:top w:color="auto" w:space="1" w:sz="0" w:val="none"/>
        <w:left w:color="auto" w:space="4" w:sz="0" w:val="none"/>
        <w:bottom w:color="auto" w:space="1" w:sz="0" w:val="none"/>
        <w:right w:color="auto" w:space="4" w:sz="0" w:val="none"/>
      </w:pBdr>
      <w:tabs>
        <w:tab w:pos="4153" w:val="center"/>
        <w:tab w:pos="8306" w:val="right"/>
      </w:tabs>
      <w:snapToGrid w:val="0"/>
    </w:pPr>
    <w:rPr>
      <w:sz w:val="18"/>
    </w:rPr>
  </w:style>
  <w:style w:styleId="8" w:type="table">
    <w:name w:val="Table Grid"/>
    <w:basedOn w:val="7"/>
    <w:qFormat/>
    <w:uiPriority w:val="0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XDocReport_Hyperlink" w:type="character">
    <w:name w:val="Hyperlink"/>
    <!-- <w:basedOn w:val="Policepardfaut" /> -->
    <w:uiPriority w:val="99"/>
    <w:unhideWhenUsed/>
    <!-- <w:rsid w:val="00CB4FF3" /> -->
    <w:rPr>
      <w:color w:themeColor="hyperlink" w:val="0000FF"/>
      <w:u w:val="single"/>
    </w:rPr>
  </w:style>
  <w:style w:styleId="XDocReport_Heading_4" w:type="paragraph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XDocReport_Heading_5" w:type="paragraph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XDocReport_Heading_6" w:type="paragraph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theme/theme1.xml" Type="http://schemas.openxmlformats.org/officeDocument/2006/relationships/theme"/><Relationship Id="rId5" Target="../customXml/item1.xml" Type="http://schemas.openxmlformats.org/officeDocument/2006/relationships/customXml"/><Relationship Id="rId6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844</Characters>
  <Lines>7</Lines>
  <Paragraphs>1</Paragraphs>
  <TotalTime>1</TotalTime>
  <ScaleCrop>false</ScaleCrop>
  <LinksUpToDate>false</LinksUpToDate>
  <CharactersWithSpaces>990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2022-08-18T06:47:00Z</dcterms:created>
  <dc:creator>Administrator</dc:creator>
  <cp:lastModifiedBy>qiaoshiyang</cp:lastModifiedBy>
  <dcterms:modified xsi:type="dcterms:W3CDTF">2026-01-23T09:02:48Z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ICV" pid="2">
    <vt:lpwstr>156FBEF45315492997A928A82EDAEB25</vt:lpwstr>
  </property>
  <property fmtid="{D5CDD505-2E9C-101B-9397-08002B2CF9AE}" name="KSOProductBuildVer" pid="3">
    <vt:lpwstr>2052-11.8.2.10505</vt:lpwstr>
  </property>
</Properties>
</file>