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pacing w:before="0" w:beforeAutospacing="0" w:after="0" w:afterAutospacing="0"/>
        <w:jc w:val="center"/>
        <w:rPr>
          <w:rFonts w:hint="eastAsia" w:ascii="楷体" w:hAnsi="楷体" w:eastAsia="楷体" w:cs="楷体"/>
          <w:b/>
          <w:sz w:val="36"/>
          <w:szCs w:val="36"/>
        </w:rPr>
      </w:pPr>
      <w:r>
        <w:rPr>
          <w:rFonts w:hint="eastAsia" w:ascii="楷体" w:hAnsi="楷体" w:eastAsia="楷体" w:cs="楷体"/>
          <w:b/>
          <w:sz w:val="36"/>
          <w:szCs w:val="36"/>
        </w:rPr>
        <w:t>“</w:t>
      </w:r>
      <w:r>
        <w:rPr>
          <w:rFonts w:hint="eastAsia" w:ascii="楷体" w:hAnsi="楷体" w:eastAsia="楷体" w:cs="楷体"/>
          <w:b/>
          <w:bCs/>
          <w:spacing w:val="-1"/>
          <w:sz w:val="36"/>
          <w:szCs w:val="36"/>
        </w:rPr>
        <w:t>苏银理财恒源目标盈20期</w:t>
      </w:r>
      <w:r>
        <w:rPr>
          <w:rFonts w:hint="eastAsia" w:ascii="楷体" w:hAnsi="楷体" w:eastAsia="楷体" w:cs="楷体"/>
          <w:b/>
          <w:sz w:val="36"/>
          <w:szCs w:val="36"/>
        </w:rPr>
        <w:t>”理财产品</w:t>
      </w:r>
    </w:p>
    <w:p>
      <w:pPr>
        <w:pStyle w:val="8"/>
        <w:spacing w:before="0" w:beforeAutospacing="0" w:after="0" w:afterAutospacing="0"/>
        <w:jc w:val="center"/>
        <w:rPr>
          <w:rFonts w:hint="eastAsia" w:ascii="楷体" w:hAnsi="楷体" w:eastAsia="楷体" w:cs="楷体"/>
          <w:b/>
          <w:sz w:val="36"/>
          <w:szCs w:val="36"/>
        </w:rPr>
      </w:pPr>
      <w:r>
        <w:rPr>
          <w:rFonts w:hint="eastAsia" w:ascii="楷体" w:hAnsi="楷体" w:eastAsia="楷体" w:cs="楷体"/>
          <w:b/>
          <w:bCs/>
          <w:spacing w:val="4"/>
          <w:sz w:val="36"/>
          <w:szCs w:val="36"/>
        </w:rPr>
        <w:t>2025年二季度</w:t>
      </w:r>
      <w:r>
        <w:rPr>
          <w:rFonts w:hint="eastAsia" w:ascii="楷体" w:hAnsi="楷体" w:eastAsia="楷体" w:cs="楷体"/>
          <w:b/>
          <w:sz w:val="36"/>
          <w:szCs w:val="36"/>
        </w:rPr>
        <w:t>投资管理报告</w:t>
      </w:r>
    </w:p>
    <w:p>
      <w:pPr>
        <w:pStyle w:val="8"/>
        <w:spacing w:before="0" w:beforeAutospacing="0" w:after="0" w:afterAutospacing="0" w:line="360" w:lineRule="auto"/>
        <w:rPr>
          <w:rFonts w:hint="eastAsia" w:ascii="楷体" w:hAnsi="楷体" w:eastAsia="楷体" w:cs="楷体"/>
        </w:rPr>
      </w:pPr>
      <w:r>
        <w:rPr>
          <w:rFonts w:hint="eastAsia" w:ascii="楷体" w:hAnsi="楷体" w:eastAsia="楷体" w:cs="楷体"/>
        </w:rPr>
        <w:t>尊敬的投资者：</w:t>
      </w:r>
    </w:p>
    <w:p>
      <w:pPr>
        <w:pStyle w:val="8"/>
        <w:spacing w:before="0" w:beforeAutospacing="0" w:after="0" w:afterAutospacing="0" w:line="360" w:lineRule="auto"/>
        <w:ind w:firstLine="566" w:firstLineChars="236"/>
        <w:rPr>
          <w:rFonts w:hint="eastAsia" w:ascii="楷体" w:hAnsi="楷体" w:eastAsia="楷体" w:cs="楷体"/>
        </w:rPr>
      </w:pPr>
      <w:r>
        <w:rPr>
          <w:rFonts w:hint="eastAsia" w:ascii="楷体" w:hAnsi="楷体" w:eastAsia="楷体" w:cs="楷体"/>
        </w:rPr>
        <w:t>“</w:t>
      </w:r>
      <w:r>
        <w:rPr>
          <w:rFonts w:hint="eastAsia" w:ascii="楷体" w:hAnsi="楷体" w:eastAsia="楷体" w:cs="楷体"/>
          <w:spacing w:val="-7"/>
        </w:rPr>
        <w:t>苏银理财恒源目标盈20期</w:t>
      </w:r>
      <w:r>
        <w:rPr>
          <w:rFonts w:hint="eastAsia" w:ascii="楷体" w:hAnsi="楷体" w:eastAsia="楷体" w:cs="楷体"/>
        </w:rPr>
        <w:t>”理财产品于</w:t>
      </w:r>
      <w:r>
        <w:rPr>
          <w:rFonts w:hint="eastAsia" w:ascii="楷体" w:hAnsi="楷体" w:eastAsia="楷体" w:cs="楷体"/>
          <w:spacing w:val="-53"/>
        </w:rPr>
        <w:t xml:space="preserve"> </w:t>
      </w:r>
      <w:r>
        <w:rPr>
          <w:rFonts w:hint="eastAsia" w:ascii="楷体" w:hAnsi="楷体" w:eastAsia="楷体" w:cs="楷体"/>
          <w:spacing w:val="-7"/>
        </w:rPr>
        <w:t>2024年09月30日</w:t>
      </w:r>
      <w:r>
        <w:rPr>
          <w:rFonts w:hint="eastAsia" w:ascii="楷体" w:hAnsi="楷体" w:eastAsia="楷体" w:cs="楷体"/>
        </w:rPr>
        <w:t>成立，于</w:t>
      </w:r>
      <w:r>
        <w:rPr>
          <w:rFonts w:hint="eastAsia" w:ascii="楷体" w:hAnsi="楷体" w:eastAsia="楷体" w:cs="楷体"/>
          <w:spacing w:val="-7"/>
        </w:rPr>
        <w:t>2024年09月30日</w:t>
      </w:r>
      <w:r>
        <w:rPr>
          <w:rFonts w:hint="eastAsia" w:ascii="楷体" w:hAnsi="楷体" w:eastAsia="楷体" w:cs="楷体"/>
        </w:rPr>
        <w:t>正式投资运作。</w:t>
      </w:r>
    </w:p>
    <w:p>
      <w:pPr>
        <w:pStyle w:val="8"/>
        <w:spacing w:before="0" w:beforeAutospacing="0" w:after="0" w:afterAutospacing="0" w:line="360" w:lineRule="auto"/>
        <w:rPr>
          <w:rFonts w:hint="eastAsia" w:ascii="楷体" w:hAnsi="楷体" w:eastAsia="楷体" w:cs="楷体"/>
        </w:rPr>
      </w:pPr>
    </w:p>
    <w:p>
      <w:pPr>
        <w:pStyle w:val="2"/>
        <w:rPr>
          <w:rFonts w:hint="eastAsia" w:ascii="楷体" w:hAnsi="楷体" w:eastAsia="楷体" w:cs="楷体"/>
        </w:rPr>
      </w:pPr>
      <w:r>
        <w:rPr>
          <w:rFonts w:hint="eastAsia" w:ascii="楷体" w:hAnsi="楷体" w:eastAsia="楷体" w:cs="楷体"/>
        </w:rPr>
        <w:t>一</w:t>
      </w:r>
      <w:bookmarkStart w:id="0" w:name="_Toc535504139"/>
      <w:r>
        <w:rPr>
          <w:rFonts w:hint="eastAsia" w:ascii="楷体" w:hAnsi="楷体" w:eastAsia="楷体" w:cs="楷体"/>
        </w:rPr>
        <w:t>、产品基本情况</w:t>
      </w:r>
      <w:bookmarkEnd w:id="0"/>
    </w:p>
    <w:tbl>
      <w:tblPr>
        <w:tblStyle w:val="9"/>
        <w:tblW w:w="86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74"/>
        <w:gridCol w:w="3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产品名称</w:t>
            </w:r>
          </w:p>
        </w:tc>
        <w:tc>
          <w:tcPr>
            <w:tcW w:w="3847" w:type="dxa"/>
          </w:tcPr>
          <w:p>
            <w:pPr>
              <w:pStyle w:val="25"/>
              <w:spacing w:before="56" w:line="202" w:lineRule="auto"/>
              <w:jc w:val="center"/>
              <w:rPr>
                <w:rFonts w:hint="eastAsia" w:ascii="楷体" w:hAnsi="楷体" w:eastAsia="楷体" w:cs="楷体"/>
                <w:sz w:val="24"/>
                <w:szCs w:val="24"/>
                <w:highlight w:val="yellow"/>
              </w:rPr>
            </w:pPr>
            <w:r>
              <w:rPr>
                <w:rFonts w:hint="eastAsia" w:ascii="楷体" w:hAnsi="楷体" w:eastAsia="楷体" w:cs="楷体"/>
                <w:spacing w:val="-6"/>
                <w:sz w:val="24"/>
                <w:szCs w:val="24"/>
              </w:rPr>
              <w:t>苏银理财恒源目标盈20期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全国银行业理财信息登记系统登记编码</w:t>
            </w:r>
          </w:p>
        </w:tc>
        <w:tc>
          <w:tcPr>
            <w:tcW w:w="3847" w:type="dxa"/>
          </w:tcPr>
          <w:p>
            <w:pPr>
              <w:pStyle w:val="25"/>
              <w:spacing w:before="85" w:line="176" w:lineRule="auto"/>
              <w:jc w:val="center"/>
              <w:rPr>
                <w:rFonts w:hint="eastAsia" w:ascii="楷体" w:hAnsi="楷体" w:eastAsia="楷体" w:cs="楷体"/>
                <w:sz w:val="24"/>
                <w:szCs w:val="24"/>
                <w:highlight w:val="yellow"/>
              </w:rPr>
            </w:pPr>
            <w:r>
              <w:rPr>
                <w:rFonts w:hint="eastAsia" w:ascii="楷体" w:hAnsi="楷体" w:eastAsia="楷体" w:cs="楷体"/>
                <w:spacing w:val="-1"/>
                <w:sz w:val="24"/>
                <w:szCs w:val="24"/>
              </w:rPr>
              <w:t>Z7003124000133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产品运作方式</w:t>
            </w:r>
          </w:p>
        </w:tc>
        <w:tc>
          <w:tcPr>
            <w:tcW w:w="3847" w:type="dxa"/>
          </w:tcPr>
          <w:p>
            <w:pPr>
              <w:pStyle w:val="25"/>
              <w:spacing w:before="52" w:line="201" w:lineRule="auto"/>
              <w:jc w:val="center"/>
              <w:rPr>
                <w:rFonts w:hint="eastAsia" w:ascii="楷体" w:hAnsi="楷体" w:eastAsia="楷体" w:cs="楷体"/>
                <w:sz w:val="24"/>
                <w:szCs w:val="24"/>
                <w:highlight w:val="yellow"/>
              </w:rPr>
            </w:pPr>
            <w:r>
              <w:rPr>
                <w:rFonts w:hint="eastAsia" w:ascii="楷体" w:hAnsi="楷体" w:eastAsia="楷体" w:cs="楷体"/>
                <w:spacing w:val="-2"/>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报告期末产品存续份额（份）</w:t>
            </w:r>
          </w:p>
        </w:tc>
        <w:tc>
          <w:tcPr>
            <w:tcW w:w="3847" w:type="dxa"/>
          </w:tcPr>
          <w:p>
            <w:pPr>
              <w:pStyle w:val="25"/>
              <w:spacing w:before="87" w:line="174" w:lineRule="auto"/>
              <w:jc w:val="center"/>
              <w:rPr>
                <w:rFonts w:hint="eastAsia" w:ascii="楷体" w:hAnsi="楷体" w:eastAsia="楷体" w:cs="楷体"/>
                <w:sz w:val="24"/>
                <w:szCs w:val="24"/>
                <w:highlight w:val="yellow"/>
              </w:rPr>
            </w:pPr>
            <w:r>
              <w:rPr>
                <w:rFonts w:hint="eastAsia" w:ascii="楷体" w:hAnsi="楷体" w:eastAsia="楷体" w:cs="楷体"/>
                <w:spacing w:val="-1"/>
                <w:sz w:val="24"/>
                <w:szCs w:val="24"/>
              </w:rPr>
              <w:t>131,868,359.00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产品资产净值（元）</w:t>
            </w:r>
          </w:p>
        </w:tc>
        <w:tc>
          <w:tcPr>
            <w:tcW w:w="3847" w:type="dxa"/>
          </w:tcPr>
          <w:p>
            <w:pPr>
              <w:pStyle w:val="25"/>
              <w:spacing w:before="78" w:line="182" w:lineRule="auto"/>
              <w:jc w:val="center"/>
              <w:rPr>
                <w:rFonts w:hint="eastAsia" w:ascii="楷体" w:hAnsi="楷体" w:eastAsia="楷体" w:cs="楷体"/>
                <w:sz w:val="24"/>
                <w:szCs w:val="24"/>
                <w:highlight w:val="yellow"/>
              </w:rPr>
            </w:pPr>
            <w:r>
              <w:rPr>
                <w:rFonts w:hint="eastAsia" w:ascii="楷体" w:hAnsi="楷体" w:eastAsia="楷体" w:cs="楷体"/>
                <w:spacing w:val="-1"/>
                <w:sz w:val="24"/>
                <w:szCs w:val="24"/>
              </w:rPr>
              <w:t>135,576,809.94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风险收益特征</w:t>
            </w:r>
          </w:p>
        </w:tc>
        <w:tc>
          <w:tcPr>
            <w:tcW w:w="3847" w:type="dxa"/>
          </w:tcPr>
          <w:p>
            <w:pPr>
              <w:pStyle w:val="25"/>
              <w:spacing w:before="54" w:line="200" w:lineRule="auto"/>
              <w:jc w:val="center"/>
              <w:rPr>
                <w:rFonts w:hint="eastAsia" w:ascii="楷体" w:hAnsi="楷体" w:eastAsia="楷体" w:cs="楷体"/>
                <w:sz w:val="24"/>
                <w:szCs w:val="24"/>
                <w:highlight w:val="yellow"/>
              </w:rPr>
            </w:pPr>
            <w:r>
              <w:rPr>
                <w:rFonts w:hint="eastAsia" w:ascii="楷体" w:hAnsi="楷体" w:eastAsia="楷体" w:cs="楷体"/>
                <w:spacing w:val="-8"/>
                <w:sz w:val="24"/>
                <w:szCs w:val="24"/>
              </w:rPr>
              <w:t>中低风险型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收益类型</w:t>
            </w:r>
          </w:p>
        </w:tc>
        <w:tc>
          <w:tcPr>
            <w:tcW w:w="3847" w:type="dxa"/>
          </w:tcPr>
          <w:p>
            <w:pPr>
              <w:pStyle w:val="25"/>
              <w:spacing w:before="56" w:line="199" w:lineRule="auto"/>
              <w:jc w:val="center"/>
              <w:rPr>
                <w:rFonts w:hint="eastAsia" w:ascii="楷体" w:hAnsi="楷体" w:eastAsia="楷体" w:cs="楷体"/>
                <w:sz w:val="24"/>
                <w:szCs w:val="24"/>
                <w:highlight w:val="yellow"/>
              </w:rPr>
            </w:pPr>
            <w:r>
              <w:rPr>
                <w:rFonts w:hint="eastAsia" w:ascii="楷体" w:hAnsi="楷体" w:eastAsia="楷体" w:cs="楷体"/>
                <w:spacing w:val="-9"/>
                <w:sz w:val="24"/>
                <w:szCs w:val="24"/>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管理人</w:t>
            </w:r>
          </w:p>
        </w:tc>
        <w:tc>
          <w:tcPr>
            <w:tcW w:w="3847" w:type="dxa"/>
          </w:tcPr>
          <w:p>
            <w:pPr>
              <w:pStyle w:val="25"/>
              <w:spacing w:before="55" w:line="200" w:lineRule="auto"/>
              <w:jc w:val="center"/>
              <w:rPr>
                <w:rFonts w:hint="eastAsia" w:ascii="楷体" w:hAnsi="楷体" w:eastAsia="楷体" w:cs="楷体"/>
                <w:sz w:val="24"/>
                <w:szCs w:val="24"/>
                <w:highlight w:val="yellow"/>
              </w:rPr>
            </w:pPr>
            <w:r>
              <w:rPr>
                <w:rFonts w:hint="eastAsia" w:ascii="楷体" w:hAnsi="楷体" w:eastAsia="楷体" w:cs="楷体"/>
                <w:spacing w:val="-3"/>
                <w:sz w:val="24"/>
                <w:szCs w:val="24"/>
              </w:rPr>
              <w:t>苏银理财有限责任公司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托管人</w:t>
            </w:r>
          </w:p>
        </w:tc>
        <w:tc>
          <w:tcPr>
            <w:tcW w:w="3847" w:type="dxa"/>
          </w:tcPr>
          <w:p>
            <w:pPr>
              <w:pStyle w:val="25"/>
              <w:spacing w:before="56" w:line="199" w:lineRule="auto"/>
              <w:jc w:val="center"/>
              <w:rPr>
                <w:rFonts w:hint="eastAsia" w:ascii="楷体" w:hAnsi="楷体" w:eastAsia="楷体" w:cs="楷体"/>
                <w:sz w:val="24"/>
                <w:szCs w:val="24"/>
                <w:highlight w:val="yellow"/>
              </w:rPr>
            </w:pPr>
            <w:r>
              <w:rPr>
                <w:rFonts w:hint="eastAsia" w:ascii="楷体" w:hAnsi="楷体" w:eastAsia="楷体" w:cs="楷体"/>
                <w:spacing w:val="-3"/>
                <w:sz w:val="24"/>
                <w:szCs w:val="24"/>
              </w:rPr>
              <w:t>江苏银行股份有限公司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托管账户</w:t>
            </w:r>
          </w:p>
        </w:tc>
        <w:tc>
          <w:tcPr>
            <w:tcW w:w="3847" w:type="dxa"/>
          </w:tcPr>
          <w:p>
            <w:pPr>
              <w:pStyle w:val="25"/>
              <w:spacing w:before="90" w:line="173" w:lineRule="auto"/>
              <w:jc w:val="center"/>
              <w:rPr>
                <w:rFonts w:hint="eastAsia" w:ascii="楷体" w:hAnsi="楷体" w:eastAsia="楷体" w:cs="楷体"/>
                <w:sz w:val="24"/>
                <w:szCs w:val="24"/>
                <w:highlight w:val="yellow"/>
              </w:rPr>
            </w:pPr>
            <w:r>
              <w:rPr>
                <w:rFonts w:hint="eastAsia" w:ascii="楷体" w:hAnsi="楷体" w:eastAsia="楷体" w:cs="楷体"/>
                <w:spacing w:val="-1"/>
                <w:sz w:val="24"/>
                <w:szCs w:val="24"/>
              </w:rPr>
              <w:t>31000188000617859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托管账户开户行</w:t>
            </w:r>
          </w:p>
        </w:tc>
        <w:tc>
          <w:tcPr>
            <w:tcW w:w="3847" w:type="dxa"/>
          </w:tcPr>
          <w:p>
            <w:pPr>
              <w:pStyle w:val="25"/>
              <w:spacing w:before="56" w:line="199" w:lineRule="auto"/>
              <w:jc w:val="center"/>
              <w:rPr>
                <w:rFonts w:hint="eastAsia" w:ascii="楷体" w:hAnsi="楷体" w:eastAsia="楷体" w:cs="楷体"/>
                <w:sz w:val="24"/>
                <w:szCs w:val="24"/>
              </w:rPr>
            </w:pPr>
            <w:r>
              <w:rPr>
                <w:rFonts w:hint="eastAsia" w:ascii="楷体" w:hAnsi="楷体" w:eastAsia="楷体" w:cs="楷体"/>
                <w:spacing w:val="-2"/>
                <w:sz w:val="24"/>
                <w:szCs w:val="24"/>
              </w:rPr>
              <w:t>江苏银行股份有限公司营业部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产品资产总值（元）</w:t>
            </w:r>
          </w:p>
        </w:tc>
        <w:tc>
          <w:tcPr>
            <w:tcW w:w="3847" w:type="dxa"/>
          </w:tcPr>
          <w:p>
            <w:pPr>
              <w:pStyle w:val="25"/>
              <w:spacing w:before="81" w:line="180" w:lineRule="auto"/>
              <w:jc w:val="center"/>
              <w:rPr>
                <w:rFonts w:hint="eastAsia" w:ascii="楷体" w:hAnsi="楷体" w:eastAsia="楷体" w:cs="楷体"/>
                <w:sz w:val="24"/>
                <w:szCs w:val="24"/>
              </w:rPr>
            </w:pPr>
            <w:r>
              <w:rPr>
                <w:rFonts w:hint="eastAsia" w:ascii="楷体" w:hAnsi="楷体" w:eastAsia="楷体" w:cs="楷体"/>
                <w:spacing w:val="-1"/>
                <w:sz w:val="24"/>
                <w:szCs w:val="24"/>
              </w:rPr>
              <w:t>170,104,933.72</w:t>
            </w:r>
            <w:r>
              <w:rPr>
                <w:rFonts w:hint="eastAsia" w:ascii="楷体" w:hAnsi="楷体" w:eastAsia="楷体" w:cs="楷体"/>
                <w:spacing w:val="-29"/>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杠杆水平</w:t>
            </w:r>
          </w:p>
        </w:tc>
        <w:tc>
          <w:tcPr>
            <w:tcW w:w="3847" w:type="dxa"/>
          </w:tcPr>
          <w:p>
            <w:pPr>
              <w:pStyle w:val="25"/>
              <w:spacing w:before="56" w:line="202" w:lineRule="auto"/>
              <w:jc w:val="center"/>
              <w:rPr>
                <w:rFonts w:hint="eastAsia" w:ascii="楷体" w:hAnsi="楷体" w:eastAsia="楷体" w:cs="楷体"/>
                <w:sz w:val="24"/>
                <w:szCs w:val="24"/>
              </w:rPr>
            </w:pPr>
            <w:r>
              <w:rPr>
                <w:rFonts w:hint="eastAsia" w:ascii="楷体" w:hAnsi="楷体" w:eastAsia="楷体" w:cs="楷体"/>
                <w:spacing w:val="-4"/>
                <w:sz w:val="24"/>
                <w:szCs w:val="24"/>
              </w:rPr>
              <w:t>125.47%</w:t>
            </w:r>
          </w:p>
        </w:tc>
      </w:tr>
    </w:tbl>
    <w:p>
      <w:pPr>
        <w:pStyle w:val="14"/>
        <w:rPr>
          <w:rFonts w:hint="eastAsia" w:ascii="楷体" w:hAnsi="楷体" w:eastAsia="楷体" w:cs="楷体"/>
        </w:rPr>
      </w:pPr>
    </w:p>
    <w:p>
      <w:pPr>
        <w:pStyle w:val="2"/>
        <w:rPr>
          <w:rFonts w:hint="eastAsia" w:ascii="楷体" w:hAnsi="楷体" w:eastAsia="楷体" w:cs="楷体"/>
        </w:rPr>
      </w:pPr>
      <w:r>
        <w:rPr>
          <w:rFonts w:hint="eastAsia" w:ascii="楷体" w:hAnsi="楷体" w:eastAsia="楷体" w:cs="楷体"/>
        </w:rPr>
        <w:t>二、产品净值与业绩比较基准</w:t>
      </w:r>
    </w:p>
    <w:tbl>
      <w:tblPr>
        <w:tblStyle w:val="10"/>
        <w:tblW w:w="86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0"/>
        <w:gridCol w:w="2100"/>
        <w:gridCol w:w="1470"/>
        <w:gridCol w:w="1665"/>
        <w:gridCol w:w="1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10" w:type="dxa"/>
          </w:tcPr>
          <w:p>
            <w:pPr>
              <w:spacing w:line="320" w:lineRule="exact"/>
              <w:jc w:val="center"/>
              <w:rPr>
                <w:rFonts w:hint="eastAsia" w:ascii="楷体" w:hAnsi="楷体" w:eastAsia="楷体" w:cs="楷体"/>
              </w:rPr>
            </w:pPr>
            <w:r>
              <w:rPr>
                <w:rFonts w:hint="eastAsia" w:ascii="楷体" w:hAnsi="楷体" w:eastAsia="楷体" w:cs="楷体"/>
                <w:sz w:val="24"/>
                <w:szCs w:val="24"/>
              </w:rPr>
              <w:t>报告日期</w:t>
            </w:r>
          </w:p>
        </w:tc>
        <w:tc>
          <w:tcPr>
            <w:tcW w:w="2100" w:type="dxa"/>
          </w:tcPr>
          <w:p>
            <w:pPr>
              <w:spacing w:line="320" w:lineRule="exact"/>
              <w:jc w:val="center"/>
              <w:rPr>
                <w:rFonts w:hint="eastAsia" w:ascii="楷体" w:hAnsi="楷体" w:eastAsia="楷体" w:cs="楷体"/>
              </w:rPr>
            </w:pPr>
            <w:r>
              <w:rPr>
                <w:rFonts w:hint="eastAsia" w:ascii="楷体" w:hAnsi="楷体" w:eastAsia="楷体" w:cs="楷体"/>
                <w:sz w:val="24"/>
                <w:szCs w:val="24"/>
              </w:rPr>
              <w:t>销售</w:t>
            </w:r>
            <w:r>
              <w:rPr>
                <w:rFonts w:hint="eastAsia" w:ascii="楷体" w:hAnsi="楷体" w:eastAsia="楷体" w:cs="楷体"/>
                <w:sz w:val="24"/>
                <w:szCs w:val="24"/>
                <w:lang w:eastAsia="zh-CN"/>
              </w:rPr>
              <w:t>名</w:t>
            </w:r>
            <w:r>
              <w:rPr>
                <w:rFonts w:hint="eastAsia" w:ascii="楷体" w:hAnsi="楷体" w:eastAsia="楷体" w:cs="楷体"/>
                <w:sz w:val="24"/>
                <w:szCs w:val="24"/>
              </w:rPr>
              <w:t>称</w:t>
            </w:r>
          </w:p>
        </w:tc>
        <w:tc>
          <w:tcPr>
            <w:tcW w:w="1470" w:type="dxa"/>
          </w:tcPr>
          <w:p>
            <w:pPr>
              <w:jc w:val="center"/>
              <w:rPr>
                <w:rFonts w:hint="eastAsia" w:ascii="楷体" w:hAnsi="楷体" w:eastAsia="楷体" w:cs="楷体"/>
              </w:rPr>
            </w:pPr>
            <w:r>
              <w:rPr>
                <w:rFonts w:hint="eastAsia" w:ascii="楷体" w:hAnsi="楷体" w:eastAsia="楷体" w:cs="楷体"/>
                <w:sz w:val="24"/>
                <w:szCs w:val="24"/>
              </w:rPr>
              <w:t>单位净值</w:t>
            </w:r>
          </w:p>
        </w:tc>
        <w:tc>
          <w:tcPr>
            <w:tcW w:w="1665" w:type="dxa"/>
          </w:tcPr>
          <w:p>
            <w:pPr>
              <w:jc w:val="center"/>
              <w:rPr>
                <w:rFonts w:hint="eastAsia" w:ascii="楷体" w:hAnsi="楷体" w:eastAsia="楷体" w:cs="楷体"/>
                <w:sz w:val="24"/>
                <w:szCs w:val="24"/>
              </w:rPr>
            </w:pPr>
            <w:r>
              <w:rPr>
                <w:rFonts w:hint="eastAsia" w:ascii="楷体" w:hAnsi="楷体" w:eastAsia="楷体" w:cs="楷体"/>
                <w:sz w:val="24"/>
                <w:szCs w:val="24"/>
              </w:rPr>
              <w:t>累计单位净值</w:t>
            </w:r>
          </w:p>
        </w:tc>
        <w:tc>
          <w:tcPr>
            <w:tcW w:w="1876" w:type="dxa"/>
          </w:tcPr>
          <w:p>
            <w:pPr>
              <w:jc w:val="center"/>
              <w:rPr>
                <w:rFonts w:hint="eastAsia" w:ascii="楷体" w:hAnsi="楷体" w:eastAsia="楷体" w:cs="楷体"/>
              </w:rPr>
            </w:pPr>
            <w:r>
              <w:rPr>
                <w:rFonts w:hint="eastAsia" w:ascii="楷体" w:hAnsi="楷体" w:eastAsia="楷体" w:cs="楷体"/>
                <w:sz w:val="24"/>
                <w:szCs w:val="24"/>
              </w:rPr>
              <w:t>业绩比较基准（年化）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0" w:type="dxa"/>
          </w:tcPr>
          <w:p>
            <w:pPr>
              <w:jc w:val="center"/>
              <w:rPr>
                <w:rFonts w:hint="eastAsia" w:ascii="楷体" w:hAnsi="楷体" w:eastAsia="楷体" w:cs="楷体"/>
                <w:sz w:val="24"/>
                <w:szCs w:val="24"/>
              </w:rPr>
            </w:pPr>
            <w:r>
              <w:rPr>
                <w:rFonts w:hint="eastAsia" w:ascii="楷体" w:hAnsi="楷体" w:eastAsia="楷体" w:cs="楷体"/>
                <w:sz w:val="24"/>
                <w:szCs w:val="24"/>
              </w:rPr>
              <w:t>2025-06-30</w:t>
            </w:r>
          </w:p>
        </w:tc>
        <w:tc>
          <w:tcPr>
            <w:tcW w:w="2100" w:type="dxa"/>
          </w:tcPr>
          <w:p>
            <w:pPr>
              <w:jc w:val="center"/>
              <w:rPr>
                <w:rFonts w:hint="eastAsia" w:ascii="楷体" w:hAnsi="楷体" w:eastAsia="楷体" w:cs="楷体"/>
                <w:sz w:val="24"/>
                <w:szCs w:val="24"/>
              </w:rPr>
            </w:pPr>
            <w:r>
              <w:rPr>
                <w:rFonts w:hint="eastAsia" w:ascii="楷体" w:hAnsi="楷体" w:eastAsia="楷体" w:cs="楷体"/>
                <w:sz w:val="24"/>
                <w:szCs w:val="24"/>
              </w:rPr>
              <w:t>苏银理财恒源目标盈20期</w:t>
            </w:r>
          </w:p>
        </w:tc>
        <w:tc>
          <w:tcPr>
            <w:tcW w:w="1470" w:type="dxa"/>
          </w:tcPr>
          <w:p>
            <w:pPr>
              <w:jc w:val="center"/>
              <w:rPr>
                <w:rFonts w:hint="eastAsia" w:ascii="楷体" w:hAnsi="楷体" w:eastAsia="楷体" w:cs="楷体"/>
                <w:sz w:val="24"/>
                <w:szCs w:val="24"/>
              </w:rPr>
            </w:pPr>
            <w:r>
              <w:rPr>
                <w:rFonts w:hint="eastAsia" w:ascii="楷体" w:hAnsi="楷体" w:eastAsia="楷体" w:cs="楷体"/>
                <w:sz w:val="24"/>
                <w:szCs w:val="24"/>
              </w:rPr>
              <w:t>1.028122</w:t>
            </w:r>
          </w:p>
        </w:tc>
        <w:tc>
          <w:tcPr>
            <w:tcW w:w="1665" w:type="dxa"/>
          </w:tcPr>
          <w:p>
            <w:pPr>
              <w:jc w:val="center"/>
              <w:rPr>
                <w:rFonts w:hint="eastAsia" w:ascii="楷体" w:hAnsi="楷体" w:eastAsia="楷体" w:cs="楷体"/>
                <w:sz w:val="24"/>
                <w:szCs w:val="24"/>
              </w:rPr>
            </w:pPr>
            <w:r>
              <w:rPr>
                <w:rFonts w:hint="eastAsia" w:ascii="楷体" w:hAnsi="楷体" w:eastAsia="楷体" w:cs="楷体"/>
                <w:sz w:val="24"/>
                <w:szCs w:val="24"/>
              </w:rPr>
              <w:t>1.028122</w:t>
            </w:r>
          </w:p>
        </w:tc>
        <w:tc>
          <w:tcPr>
            <w:tcW w:w="1876" w:type="dxa"/>
          </w:tcPr>
          <w:p>
            <w:pPr>
              <w:jc w:val="center"/>
              <w:rPr>
                <w:rFonts w:hint="eastAsia" w:ascii="楷体" w:hAnsi="楷体" w:eastAsia="楷体" w:cs="楷体"/>
                <w:sz w:val="24"/>
                <w:szCs w:val="24"/>
              </w:rPr>
            </w:pPr>
            <w:r>
              <w:rPr>
                <w:rFonts w:hint="eastAsia" w:ascii="楷体" w:hAnsi="楷体" w:eastAsia="楷体" w:cs="楷体"/>
                <w:sz w:val="24"/>
                <w:szCs w:val="24"/>
              </w:rPr>
              <w:t>2.6%-3.6%</w:t>
            </w:r>
          </w:p>
        </w:tc>
      </w:tr>
    </w:tbl>
    <w:p>
      <w:pPr>
        <w:rPr>
          <w:rFonts w:hint="eastAsia" w:ascii="楷体" w:hAnsi="楷体" w:eastAsia="楷体" w:cs="楷体"/>
        </w:rPr>
      </w:pPr>
    </w:p>
    <w:p>
      <w:pPr>
        <w:rPr>
          <w:rFonts w:hint="eastAsia" w:ascii="楷体" w:hAnsi="楷体" w:eastAsia="楷体" w:cs="楷体"/>
          <w:sz w:val="21"/>
          <w:szCs w:val="21"/>
        </w:rPr>
      </w:pPr>
      <w:r>
        <w:rPr>
          <w:rFonts w:hint="eastAsia" w:ascii="楷体" w:hAnsi="楷体" w:eastAsia="楷体" w:cs="楷体"/>
          <w:bCs/>
          <w:kern w:val="0"/>
          <w:sz w:val="21"/>
          <w:szCs w:val="21"/>
        </w:rPr>
        <w:t>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hint="eastAsia" w:ascii="楷体" w:hAnsi="楷体" w:eastAsia="楷体" w:cs="楷体"/>
        </w:rPr>
      </w:pPr>
    </w:p>
    <w:p>
      <w:pPr>
        <w:pStyle w:val="2"/>
        <w:rPr>
          <w:rFonts w:hint="eastAsia" w:ascii="楷体" w:hAnsi="楷体" w:eastAsia="楷体" w:cs="楷体"/>
        </w:rPr>
      </w:pPr>
      <w:r>
        <w:rPr>
          <w:rFonts w:hint="eastAsia" w:ascii="楷体" w:hAnsi="楷体" w:eastAsia="楷体" w:cs="楷体"/>
        </w:rPr>
        <w:t>三、产品投资组合情况</w:t>
      </w:r>
    </w:p>
    <w:p>
      <w:pPr>
        <w:pStyle w:val="2"/>
        <w:rPr>
          <w:rFonts w:hint="eastAsia" w:ascii="楷体" w:hAnsi="楷体" w:eastAsia="楷体" w:cs="楷体"/>
          <w:b w:val="0"/>
          <w:sz w:val="21"/>
        </w:rPr>
      </w:pPr>
      <w:r>
        <w:rPr>
          <w:rFonts w:hint="eastAsia" w:ascii="楷体" w:hAnsi="楷体" w:eastAsia="楷体" w:cs="楷体"/>
          <w:b w:val="0"/>
          <w:sz w:val="21"/>
        </w:rPr>
        <w:t>（一）期末理财产品持有资产情况</w:t>
      </w:r>
    </w:p>
    <w:tbl>
      <w:tblPr>
        <w:tblStyle w:val="9"/>
        <w:tblW w:w="83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7"/>
        <w:gridCol w:w="2413"/>
        <w:gridCol w:w="2610"/>
        <w:gridCol w:w="2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27" w:type="dxa"/>
            <w:vAlign w:val="center"/>
          </w:tcPr>
          <w:p>
            <w:pPr>
              <w:spacing w:line="320" w:lineRule="exact"/>
              <w:jc w:val="center"/>
              <w:rPr>
                <w:rFonts w:hint="eastAsia" w:ascii="楷体" w:hAnsi="楷体" w:eastAsia="楷体" w:cs="楷体"/>
                <w:sz w:val="21"/>
                <w:szCs w:val="21"/>
              </w:rPr>
            </w:pPr>
            <w:r>
              <w:rPr>
                <w:rFonts w:hint="eastAsia" w:ascii="楷体" w:hAnsi="楷体" w:eastAsia="楷体" w:cs="楷体"/>
                <w:sz w:val="21"/>
                <w:szCs w:val="21"/>
              </w:rPr>
              <w:t>序号</w:t>
            </w:r>
          </w:p>
        </w:tc>
        <w:tc>
          <w:tcPr>
            <w:tcW w:w="2413" w:type="dxa"/>
            <w:vAlign w:val="center"/>
          </w:tcPr>
          <w:p>
            <w:pPr>
              <w:spacing w:line="320" w:lineRule="exact"/>
              <w:jc w:val="center"/>
              <w:rPr>
                <w:rFonts w:hint="eastAsia" w:ascii="楷体" w:hAnsi="楷体" w:eastAsia="楷体" w:cs="楷体"/>
                <w:sz w:val="21"/>
                <w:szCs w:val="21"/>
              </w:rPr>
            </w:pPr>
            <w:r>
              <w:rPr>
                <w:rFonts w:hint="eastAsia" w:ascii="楷体" w:hAnsi="楷体" w:eastAsia="楷体" w:cs="楷体"/>
                <w:sz w:val="21"/>
                <w:szCs w:val="21"/>
              </w:rPr>
              <w:t>资产类别</w:t>
            </w:r>
          </w:p>
        </w:tc>
        <w:tc>
          <w:tcPr>
            <w:tcW w:w="2610" w:type="dxa"/>
            <w:vAlign w:val="center"/>
          </w:tcPr>
          <w:p>
            <w:pPr>
              <w:spacing w:line="320" w:lineRule="exact"/>
              <w:rPr>
                <w:rFonts w:hint="eastAsia" w:ascii="楷体" w:hAnsi="楷体" w:eastAsia="楷体" w:cs="楷体"/>
                <w:sz w:val="21"/>
                <w:szCs w:val="21"/>
              </w:rPr>
            </w:pPr>
            <w:r>
              <w:rPr>
                <w:rFonts w:hint="eastAsia" w:ascii="楷体" w:hAnsi="楷体" w:eastAsia="楷体" w:cs="楷体"/>
                <w:sz w:val="21"/>
                <w:szCs w:val="21"/>
              </w:rPr>
              <w:t>直接投资占总资产的比例</w:t>
            </w:r>
          </w:p>
        </w:tc>
        <w:tc>
          <w:tcPr>
            <w:tcW w:w="2550" w:type="dxa"/>
            <w:vAlign w:val="center"/>
          </w:tcPr>
          <w:p>
            <w:pPr>
              <w:spacing w:line="320" w:lineRule="exact"/>
              <w:jc w:val="center"/>
              <w:rPr>
                <w:rFonts w:hint="eastAsia" w:ascii="楷体" w:hAnsi="楷体" w:eastAsia="楷体" w:cs="楷体"/>
                <w:sz w:val="21"/>
                <w:szCs w:val="21"/>
              </w:rPr>
            </w:pPr>
            <w:r>
              <w:rPr>
                <w:rFonts w:hint="eastAsia" w:ascii="楷体" w:hAnsi="楷体" w:eastAsia="楷体" w:cs="楷体"/>
                <w:sz w:val="21"/>
                <w:szCs w:val="21"/>
              </w:rPr>
              <w:t>间接投资占总资产的比例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27"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1</w:t>
            </w:r>
          </w:p>
        </w:tc>
        <w:tc>
          <w:tcPr>
            <w:tcW w:w="2413"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固定收益类</w:t>
            </w:r>
          </w:p>
        </w:tc>
        <w:tc>
          <w:tcPr>
            <w:tcW w:w="2610"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36.84%</w:t>
            </w:r>
          </w:p>
        </w:tc>
        <w:tc>
          <w:tcPr>
            <w:tcW w:w="2550"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63.16%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27" w:type="dxa"/>
            <w:vAlign w:val="center"/>
          </w:tcPr>
          <w:p>
            <w:pPr>
              <w:pageBreakBefore w:val="0"/>
              <w:jc w:val="center"/>
              <w:textAlignment w:val="auto"/>
            </w:pPr>
            <w:r>
              <w:rPr>
                <w:rFonts w:ascii="楷体" w:hAnsi="楷体" w:eastAsia="楷体" w:cs="楷体"/>
                <w:b w:val="0"/>
                <w:i w:val="0"/>
                <w:strike w:val="0"/>
                <w:color w:val="auto"/>
                <w:position w:val="-1"/>
                <w:sz w:val="24"/>
                <w:u w:val="none"/>
              </w:rPr>
              <w:t>2</w:t>
            </w:r>
          </w:p>
        </w:tc>
        <w:tc>
          <w:tcPr>
            <w:tcW w:w="2413" w:type="dxa"/>
            <w:vAlign w:val="center"/>
          </w:tcPr>
          <w:p>
            <w:pPr>
              <w:pageBreakBefore w:val="0"/>
              <w:jc w:val="center"/>
              <w:textAlignment w:val="auto"/>
            </w:pPr>
            <w:r>
              <w:rPr>
                <w:rFonts w:ascii="楷体" w:hAnsi="楷体" w:eastAsia="楷体" w:cs="楷体"/>
                <w:b w:val="0"/>
                <w:i w:val="0"/>
                <w:strike w:val="0"/>
                <w:color w:val="auto"/>
                <w:position w:val="-1"/>
                <w:sz w:val="24"/>
                <w:u w:val="none"/>
              </w:rPr>
              <w:t>权益类</w:t>
            </w:r>
          </w:p>
        </w:tc>
        <w:tc>
          <w:tcPr>
            <w:tcW w:w="2610" w:type="dxa"/>
            <w:vAlign w:val="center"/>
          </w:tcPr>
          <w:p>
            <w:pPr>
              <w:pageBreakBefore w:val="0"/>
              <w:jc w:val="center"/>
              <w:textAlignment w:val="auto"/>
            </w:pPr>
            <w:r>
              <w:rPr>
                <w:rFonts w:ascii="楷体" w:hAnsi="楷体" w:eastAsia="楷体" w:cs="楷体"/>
                <w:b w:val="0"/>
                <w:i w:val="0"/>
                <w:strike w:val="0"/>
                <w:color w:val="auto"/>
                <w:position w:val="-1"/>
                <w:sz w:val="24"/>
                <w:u w:val="none"/>
              </w:rPr>
              <w:t>-</w:t>
            </w:r>
          </w:p>
        </w:tc>
        <w:tc>
          <w:tcPr>
            <w:tcW w:w="2550" w:type="dxa"/>
            <w:vAlign w:val="center"/>
          </w:tcPr>
          <w:p>
            <w:pPr>
              <w:pageBreakBefore w:val="0"/>
              <w:jc w:val="center"/>
              <w:textAlignment w:val="auto"/>
            </w:pPr>
            <w:r>
              <w:rPr>
                <w:rFonts w:ascii="楷体" w:hAnsi="楷体" w:eastAsia="楷体" w:cs="楷体"/>
                <w:b w:val="0"/>
                <w:i w:val="0"/>
                <w:strike w:val="0"/>
                <w:color w:val="auto"/>
                <w:position w:val="-1"/>
                <w:sz w:val="24"/>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27" w:type="dxa"/>
            <w:vAlign w:val="center"/>
          </w:tcPr>
          <w:p>
            <w:pPr>
              <w:pageBreakBefore w:val="0"/>
              <w:jc w:val="center"/>
              <w:textAlignment w:val="auto"/>
            </w:pPr>
            <w:r>
              <w:rPr>
                <w:rFonts w:ascii="楷体" w:hAnsi="楷体" w:eastAsia="楷体" w:cs="楷体"/>
                <w:b w:val="0"/>
                <w:i w:val="0"/>
                <w:strike w:val="0"/>
                <w:color w:val="auto"/>
                <w:position w:val="-1"/>
                <w:sz w:val="24"/>
                <w:u w:val="none"/>
              </w:rPr>
              <w:t>3</w:t>
            </w:r>
          </w:p>
        </w:tc>
        <w:tc>
          <w:tcPr>
            <w:tcW w:w="2413" w:type="dxa"/>
            <w:vAlign w:val="center"/>
          </w:tcPr>
          <w:p>
            <w:pPr>
              <w:pageBreakBefore w:val="0"/>
              <w:jc w:val="center"/>
              <w:textAlignment w:val="auto"/>
            </w:pPr>
            <w:r>
              <w:rPr>
                <w:rFonts w:ascii="楷体" w:hAnsi="楷体" w:eastAsia="楷体" w:cs="楷体"/>
                <w:b w:val="0"/>
                <w:i w:val="0"/>
                <w:strike w:val="0"/>
                <w:color w:val="auto"/>
                <w:position w:val="-1"/>
                <w:sz w:val="24"/>
                <w:u w:val="none"/>
              </w:rPr>
              <w:t>商品及金融衍生品类</w:t>
            </w:r>
          </w:p>
        </w:tc>
        <w:tc>
          <w:tcPr>
            <w:tcW w:w="2610" w:type="dxa"/>
            <w:vAlign w:val="center"/>
          </w:tcPr>
          <w:p>
            <w:pPr>
              <w:pageBreakBefore w:val="0"/>
              <w:jc w:val="center"/>
              <w:textAlignment w:val="auto"/>
            </w:pPr>
            <w:r>
              <w:rPr>
                <w:rFonts w:ascii="楷体" w:hAnsi="楷体" w:eastAsia="楷体" w:cs="楷体"/>
                <w:b w:val="0"/>
                <w:i w:val="0"/>
                <w:strike w:val="0"/>
                <w:color w:val="auto"/>
                <w:position w:val="-1"/>
                <w:sz w:val="24"/>
                <w:u w:val="none"/>
              </w:rPr>
              <w:t>-</w:t>
            </w:r>
          </w:p>
        </w:tc>
        <w:tc>
          <w:tcPr>
            <w:tcW w:w="2550" w:type="dxa"/>
            <w:vAlign w:val="center"/>
          </w:tcPr>
          <w:p>
            <w:pPr>
              <w:pageBreakBefore w:val="0"/>
              <w:jc w:val="center"/>
              <w:textAlignment w:val="auto"/>
            </w:pPr>
            <w:r>
              <w:rPr>
                <w:rFonts w:ascii="楷体" w:hAnsi="楷体" w:eastAsia="楷体" w:cs="楷体"/>
                <w:b w:val="0"/>
                <w:i w:val="0"/>
                <w:strike w:val="0"/>
                <w:color w:val="auto"/>
                <w:position w:val="-1"/>
                <w:sz w:val="24"/>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27" w:type="dxa"/>
            <w:vAlign w:val="center"/>
          </w:tcPr>
          <w:p>
            <w:pPr>
              <w:pageBreakBefore w:val="0"/>
              <w:jc w:val="center"/>
              <w:textAlignment w:val="auto"/>
            </w:pPr>
            <w:r>
              <w:rPr>
                <w:rFonts w:ascii="楷体" w:hAnsi="楷体" w:eastAsia="楷体" w:cs="楷体"/>
                <w:b w:val="0"/>
                <w:i w:val="0"/>
                <w:strike w:val="0"/>
                <w:color w:val="auto"/>
                <w:position w:val="-1"/>
                <w:sz w:val="24"/>
                <w:u w:val="none"/>
              </w:rPr>
              <w:t>4</w:t>
            </w:r>
          </w:p>
        </w:tc>
        <w:tc>
          <w:tcPr>
            <w:tcW w:w="2413" w:type="dxa"/>
            <w:vAlign w:val="center"/>
          </w:tcPr>
          <w:p>
            <w:pPr>
              <w:pageBreakBefore w:val="0"/>
              <w:jc w:val="center"/>
              <w:textAlignment w:val="auto"/>
            </w:pPr>
            <w:r>
              <w:rPr>
                <w:rFonts w:ascii="楷体" w:hAnsi="楷体" w:eastAsia="楷体" w:cs="楷体"/>
                <w:b w:val="0"/>
                <w:i w:val="0"/>
                <w:strike w:val="0"/>
                <w:color w:val="auto"/>
                <w:position w:val="-1"/>
                <w:sz w:val="24"/>
                <w:u w:val="none"/>
              </w:rPr>
              <w:t>混合类</w:t>
            </w:r>
          </w:p>
        </w:tc>
        <w:tc>
          <w:tcPr>
            <w:tcW w:w="2610" w:type="dxa"/>
            <w:vAlign w:val="center"/>
          </w:tcPr>
          <w:p>
            <w:pPr>
              <w:pageBreakBefore w:val="0"/>
              <w:jc w:val="center"/>
              <w:textAlignment w:val="auto"/>
            </w:pPr>
            <w:r>
              <w:rPr>
                <w:rFonts w:ascii="楷体" w:hAnsi="楷体" w:eastAsia="楷体" w:cs="楷体"/>
                <w:b w:val="0"/>
                <w:i w:val="0"/>
                <w:strike w:val="0"/>
                <w:color w:val="auto"/>
                <w:position w:val="-1"/>
                <w:sz w:val="24"/>
                <w:u w:val="none"/>
              </w:rPr>
              <w:t>-</w:t>
            </w:r>
          </w:p>
        </w:tc>
        <w:tc>
          <w:tcPr>
            <w:tcW w:w="2550" w:type="dxa"/>
            <w:vAlign w:val="center"/>
          </w:tcPr>
          <w:p>
            <w:pPr>
              <w:pageBreakBefore w:val="0"/>
              <w:jc w:val="center"/>
              <w:textAlignment w:val="auto"/>
            </w:pPr>
            <w:r>
              <w:rPr>
                <w:rFonts w:ascii="楷体" w:hAnsi="楷体" w:eastAsia="楷体" w:cs="楷体"/>
                <w:b w:val="0"/>
                <w:i w:val="0"/>
                <w:strike w:val="0"/>
                <w:color w:val="auto"/>
                <w:position w:val="-1"/>
                <w:sz w:val="24"/>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140" w:type="dxa"/>
            <w:gridSpan w:val="2"/>
            <w:shd w:val="clear" w:color="auto" w:fill="auto"/>
            <w:vAlign w:val="center"/>
          </w:tcPr>
          <w:p>
            <w:pPr>
              <w:tabs>
                <w:tab w:val="center" w:pos="1522"/>
                <w:tab w:val="right" w:pos="2924"/>
              </w:tabs>
              <w:jc w:val="left"/>
              <w:rPr>
                <w:rFonts w:hint="eastAsia" w:ascii="楷体" w:hAnsi="楷体" w:eastAsia="楷体" w:cs="楷体"/>
                <w:sz w:val="24"/>
                <w:szCs w:val="24"/>
                <w:lang w:eastAsia="zh-CN"/>
              </w:rPr>
            </w:pPr>
            <w:r>
              <w:rPr>
                <w:rFonts w:hint="eastAsia" w:ascii="楷体" w:hAnsi="楷体" w:eastAsia="楷体" w:cs="楷体"/>
                <w:sz w:val="24"/>
                <w:szCs w:val="24"/>
                <w:lang w:eastAsia="zh-CN"/>
              </w:rPr>
              <w:tab/>
            </w:r>
            <w:r>
              <w:rPr>
                <w:rFonts w:hint="eastAsia" w:ascii="楷体" w:hAnsi="楷体" w:eastAsia="楷体" w:cs="楷体"/>
                <w:sz w:val="24"/>
                <w:szCs w:val="24"/>
              </w:rPr>
              <w:t>合计</w:t>
            </w:r>
            <w:r>
              <w:rPr>
                <w:rFonts w:hint="eastAsia" w:ascii="楷体" w:hAnsi="楷体" w:eastAsia="楷体" w:cs="楷体"/>
                <w:sz w:val="24"/>
                <w:szCs w:val="24"/>
                <w:lang w:eastAsia="zh-CN"/>
              </w:rPr>
              <w:tab/>
            </w:r>
          </w:p>
        </w:tc>
        <w:tc>
          <w:tcPr>
            <w:tcW w:w="2610" w:type="dxa"/>
            <w:shd w:val="clear" w:color="auto" w:fill="auto"/>
            <w:vAlign w:val="center"/>
          </w:tcPr>
          <w:p>
            <w:pPr>
              <w:jc w:val="center"/>
              <w:rPr>
                <w:rFonts w:hint="eastAsia" w:ascii="楷体" w:hAnsi="楷体" w:eastAsia="楷体" w:cs="楷体"/>
                <w:sz w:val="24"/>
                <w:szCs w:val="24"/>
              </w:rPr>
            </w:pPr>
            <w:r>
              <w:rPr>
                <w:rFonts w:hint="eastAsia" w:ascii="楷体" w:hAnsi="楷体" w:eastAsia="楷体" w:cs="楷体"/>
                <w:sz w:val="24"/>
                <w:szCs w:val="24"/>
              </w:rPr>
              <w:t>36.84%</w:t>
            </w:r>
          </w:p>
        </w:tc>
        <w:tc>
          <w:tcPr>
            <w:tcW w:w="2550" w:type="dxa"/>
            <w:shd w:val="clear" w:color="auto" w:fill="FFFFFF"/>
            <w:vAlign w:val="center"/>
          </w:tcPr>
          <w:p>
            <w:pPr>
              <w:jc w:val="center"/>
              <w:rPr>
                <w:rFonts w:hint="eastAsia" w:ascii="楷体" w:hAnsi="楷体" w:eastAsia="楷体" w:cs="楷体"/>
                <w:sz w:val="24"/>
                <w:szCs w:val="24"/>
              </w:rPr>
            </w:pPr>
            <w:r>
              <w:rPr>
                <w:rFonts w:hint="eastAsia" w:ascii="楷体" w:hAnsi="楷体" w:eastAsia="楷体" w:cs="楷体"/>
                <w:sz w:val="24"/>
                <w:szCs w:val="24"/>
              </w:rPr>
              <w:t>63.16%</w:t>
            </w:r>
          </w:p>
        </w:tc>
      </w:tr>
    </w:tbl>
    <w:p>
      <w:pPr>
        <w:rPr>
          <w:rFonts w:hint="eastAsia" w:ascii="楷体" w:hAnsi="楷体" w:eastAsia="楷体" w:cs="楷体"/>
        </w:rPr>
      </w:pPr>
    </w:p>
    <w:p>
      <w:pPr>
        <w:pStyle w:val="2"/>
        <w:ind w:left="0"/>
        <w:rPr>
          <w:rFonts w:hint="eastAsia" w:ascii="楷体" w:hAnsi="楷体" w:eastAsia="楷体" w:cs="楷体"/>
          <w:b w:val="0"/>
          <w:sz w:val="21"/>
        </w:rPr>
      </w:pPr>
      <w:r>
        <w:rPr>
          <w:rFonts w:hint="eastAsia" w:ascii="楷体" w:hAnsi="楷体" w:eastAsia="楷体" w:cs="楷体"/>
          <w:b w:val="0"/>
          <w:sz w:val="21"/>
        </w:rPr>
        <w:t>（二）期末理财产品持有的前十项资产</w:t>
      </w:r>
    </w:p>
    <w:tbl>
      <w:tblPr>
        <w:tblStyle w:val="9"/>
        <w:tblW w:w="86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3"/>
        <w:gridCol w:w="2434"/>
        <w:gridCol w:w="1275"/>
        <w:gridCol w:w="2235"/>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873"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序号</w:t>
            </w:r>
          </w:p>
        </w:tc>
        <w:tc>
          <w:tcPr>
            <w:tcW w:w="243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资产名称</w:t>
            </w:r>
          </w:p>
        </w:tc>
        <w:tc>
          <w:tcPr>
            <w:tcW w:w="1275"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资产类别</w:t>
            </w:r>
          </w:p>
        </w:tc>
        <w:tc>
          <w:tcPr>
            <w:tcW w:w="2235"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持有金额（元）</w:t>
            </w:r>
          </w:p>
        </w:tc>
        <w:tc>
          <w:tcPr>
            <w:tcW w:w="1800"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jc w:val="center"/>
              <w:rPr>
                <w:rFonts w:hint="eastAsia" w:ascii="楷体" w:hAnsi="楷体" w:eastAsia="楷体" w:cs="楷体"/>
                <w:sz w:val="22"/>
              </w:rPr>
            </w:pPr>
            <w:r>
              <w:rPr>
                <w:rFonts w:hint="eastAsia" w:ascii="楷体" w:hAnsi="楷体" w:eastAsia="楷体" w:cs="楷体"/>
                <w:sz w:val="22"/>
              </w:rPr>
              <w:t>1</w:t>
            </w:r>
          </w:p>
        </w:tc>
        <w:tc>
          <w:tcPr>
            <w:tcW w:w="2434" w:type="dxa"/>
          </w:tcPr>
          <w:p>
            <w:pPr>
              <w:jc w:val="center"/>
              <w:rPr>
                <w:rFonts w:hint="eastAsia" w:ascii="楷体" w:hAnsi="楷体" w:eastAsia="楷体" w:cs="楷体"/>
                <w:sz w:val="22"/>
              </w:rPr>
            </w:pPr>
            <w:r>
              <w:rPr>
                <w:rFonts w:hint="eastAsia" w:ascii="楷体" w:hAnsi="楷体" w:eastAsia="楷体" w:cs="楷体"/>
                <w:sz w:val="22"/>
              </w:rPr>
              <w:t>中粮信托-民丰111号（蚂蚁借呗）-第二期</w:t>
            </w:r>
          </w:p>
        </w:tc>
        <w:tc>
          <w:tcPr>
            <w:tcW w:w="1275" w:type="dxa"/>
          </w:tcPr>
          <w:p>
            <w:pPr>
              <w:jc w:val="center"/>
              <w:rPr>
                <w:rFonts w:hint="eastAsia" w:ascii="楷体" w:hAnsi="楷体" w:eastAsia="楷体" w:cs="楷体"/>
                <w:sz w:val="22"/>
              </w:rPr>
            </w:pPr>
            <w:r>
              <w:rPr>
                <w:rFonts w:hint="eastAsia" w:ascii="楷体" w:hAnsi="楷体" w:eastAsia="楷体" w:cs="楷体"/>
                <w:sz w:val="22"/>
              </w:rPr>
              <w:t>非标准化债权类资产</w:t>
            </w:r>
          </w:p>
        </w:tc>
        <w:tc>
          <w:tcPr>
            <w:tcW w:w="2235" w:type="dxa"/>
          </w:tcPr>
          <w:p>
            <w:pPr>
              <w:jc w:val="center"/>
              <w:rPr>
                <w:rFonts w:hint="eastAsia" w:ascii="楷体" w:hAnsi="楷体" w:eastAsia="楷体" w:cs="楷体"/>
                <w:sz w:val="22"/>
              </w:rPr>
            </w:pPr>
            <w:r>
              <w:rPr>
                <w:rFonts w:hint="eastAsia" w:ascii="楷体" w:hAnsi="楷体" w:eastAsia="楷体" w:cs="楷体"/>
                <w:sz w:val="22"/>
              </w:rPr>
              <w:t>62,347,963.42</w:t>
            </w:r>
          </w:p>
        </w:tc>
        <w:tc>
          <w:tcPr>
            <w:tcW w:w="1800" w:type="dxa"/>
          </w:tcPr>
          <w:p>
            <w:pPr>
              <w:jc w:val="center"/>
              <w:rPr>
                <w:rFonts w:hint="eastAsia" w:ascii="楷体" w:hAnsi="楷体" w:eastAsia="楷体" w:cs="楷体"/>
                <w:sz w:val="22"/>
              </w:rPr>
            </w:pPr>
            <w:r>
              <w:rPr>
                <w:rFonts w:hint="eastAsia" w:ascii="楷体" w:hAnsi="楷体" w:eastAsia="楷体" w:cs="楷体"/>
                <w:sz w:val="22"/>
              </w:rPr>
              <w:t>35.79%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2</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24南控K2</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债券</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10,336,002.60</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5.93%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3</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24铁基K1</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债券</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10,303,930.96</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5.92%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4</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24创元02</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债券</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10,291,843.84</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5.91%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5</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24青信11</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债券</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10,268,045.62</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5.89%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6</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G24天成5</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债券</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10,265,863.29</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5.89%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7</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24发展03</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债券</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10,230,630.41</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5.87%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8</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外贸信托-星沐5号1期-网商银行-信托受益权转让-第二期</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非标准化债权类资产</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4,422,290.82</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2.54%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9</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24浙商银行CD157</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同业存单</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2,230,743.35</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10</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24农行二级资本债02A</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债券</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2,053,922.33</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1.18%</w:t>
            </w:r>
          </w:p>
        </w:tc>
      </w:tr>
    </w:tbl>
    <w:p>
      <w:pPr>
        <w:pStyle w:val="14"/>
        <w:rPr>
          <w:rFonts w:hint="eastAsia" w:ascii="楷体" w:hAnsi="楷体" w:eastAsia="楷体" w:cs="楷体"/>
        </w:rPr>
      </w:pPr>
    </w:p>
    <w:p>
      <w:pPr>
        <w:pStyle w:val="2"/>
        <w:numPr>
          <w:ilvl w:val="0"/>
          <w:numId w:val="1"/>
        </w:numPr>
        <w:rPr>
          <w:rFonts w:hint="eastAsia" w:ascii="楷体" w:hAnsi="楷体" w:eastAsia="楷体" w:cs="楷体"/>
          <w:b w:val="0"/>
          <w:sz w:val="21"/>
        </w:rPr>
      </w:pPr>
      <w:r>
        <w:rPr>
          <w:rFonts w:hint="eastAsia" w:ascii="楷体" w:hAnsi="楷体" w:eastAsia="楷体" w:cs="楷体"/>
          <w:b w:val="0"/>
          <w:sz w:val="21"/>
        </w:rPr>
        <w:t>非标资产情况</w:t>
      </w:r>
    </w:p>
    <w:p>
      <w:pPr>
        <w:ind w:firstLine="220" w:firstLineChars="100"/>
        <w:rPr>
          <w:rFonts w:hint="eastAsia" w:ascii="楷体" w:hAnsi="楷体" w:eastAsia="楷体" w:cs="楷体"/>
        </w:rPr>
      </w:pPr>
      <w:r>
        <w:rPr>
          <w:rFonts w:hint="eastAsia" w:ascii="楷体" w:hAnsi="楷体" w:eastAsia="楷体" w:cs="楷体"/>
          <w:sz w:val="22"/>
          <w:szCs w:val="24"/>
        </w:rPr>
        <w:t>1）非标资产投资情况</w:t>
      </w:r>
    </w:p>
    <w:tbl>
      <w:tblPr>
        <w:tblStyle w:val="9"/>
        <w:tblW w:w="8811" w:type="dxa"/>
        <w:tblInd w:w="0" w:type="dxa"/>
        <w:tblLayout w:type="fixed"/>
        <w:tblCellMar>
          <w:top w:w="0" w:type="dxa"/>
          <w:left w:w="108" w:type="dxa"/>
          <w:bottom w:w="0" w:type="dxa"/>
          <w:right w:w="108" w:type="dxa"/>
        </w:tblCellMar>
      </w:tblPr>
      <w:tblGrid>
        <w:gridCol w:w="1401"/>
        <w:gridCol w:w="1410"/>
        <w:gridCol w:w="1245"/>
        <w:gridCol w:w="1485"/>
        <w:gridCol w:w="1335"/>
        <w:gridCol w:w="1080"/>
        <w:gridCol w:w="855"/>
      </w:tblGrid>
      <w:tr>
        <w:tblPrEx>
          <w:tblCellMar>
            <w:top w:w="0" w:type="dxa"/>
            <w:left w:w="108" w:type="dxa"/>
            <w:bottom w:w="0" w:type="dxa"/>
            <w:right w:w="108" w:type="dxa"/>
          </w:tblCellMar>
        </w:tblPrEx>
        <w:trPr>
          <w:trHeight w:val="270" w:hRule="atLeast"/>
        </w:trPr>
        <w:tc>
          <w:tcPr>
            <w:tcW w:w="1401"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融资客户</w:t>
            </w:r>
          </w:p>
        </w:tc>
        <w:tc>
          <w:tcPr>
            <w:tcW w:w="1410" w:type="dxa"/>
            <w:tcBorders>
              <w:top w:val="single" w:color="auto" w:sz="4" w:space="0"/>
              <w:left w:val="nil"/>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项目名称</w:t>
            </w:r>
          </w:p>
        </w:tc>
        <w:tc>
          <w:tcPr>
            <w:tcW w:w="1245" w:type="dxa"/>
            <w:tcBorders>
              <w:top w:val="single" w:color="auto" w:sz="4" w:space="0"/>
              <w:left w:val="nil"/>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剩余融资期限（天）</w:t>
            </w:r>
          </w:p>
        </w:tc>
        <w:tc>
          <w:tcPr>
            <w:tcW w:w="1485" w:type="dxa"/>
            <w:tcBorders>
              <w:top w:val="single" w:color="auto" w:sz="4" w:space="0"/>
              <w:left w:val="nil"/>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资产面值</w:t>
            </w:r>
          </w:p>
        </w:tc>
        <w:tc>
          <w:tcPr>
            <w:tcW w:w="1335" w:type="dxa"/>
            <w:tcBorders>
              <w:top w:val="single" w:color="auto" w:sz="4" w:space="0"/>
              <w:left w:val="nil"/>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到期分配方式</w:t>
            </w:r>
          </w:p>
        </w:tc>
        <w:tc>
          <w:tcPr>
            <w:tcW w:w="1080" w:type="dxa"/>
            <w:tcBorders>
              <w:top w:val="single" w:color="auto" w:sz="4" w:space="0"/>
              <w:left w:val="nil"/>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交易结构</w:t>
            </w:r>
          </w:p>
        </w:tc>
        <w:tc>
          <w:tcPr>
            <w:tcW w:w="855" w:type="dxa"/>
            <w:tcBorders>
              <w:top w:val="single" w:color="auto" w:sz="4" w:space="0"/>
              <w:left w:val="nil"/>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风险状况</w:t>
            </w:r>
          </w:p>
        </w:tc>
      </w:tr>
      <w:tr>
        <w:tblPrEx>
          <w:tblCellMar>
            <w:top w:w="0" w:type="dxa"/>
            <w:left w:w="108" w:type="dxa"/>
            <w:bottom w:w="0" w:type="dxa"/>
            <w:right w:w="108" w:type="dxa"/>
          </w:tblCellMar>
        </w:tblPrEx>
        <w:trPr>
          <w:trHeight w:val="270" w:hRule="atLeast"/>
        </w:trPr>
        <w:tc>
          <w:tcPr>
            <w:tcW w:w="1401" w:type="dxa"/>
            <w:tcBorders>
              <w:top w:val="single" w:color="auto" w:sz="4" w:space="0"/>
              <w:left w:val="single" w:color="auto" w:sz="4" w:space="0"/>
              <w:bottom w:val="single" w:color="auto" w:sz="4" w:space="0"/>
              <w:right w:val="single" w:color="auto" w:sz="4" w:space="0"/>
            </w:tcBorders>
          </w:tcPr>
          <w:p>
            <w:pPr>
              <w:jc w:val="center"/>
              <w:rPr>
                <w:rFonts w:hint="eastAsia" w:ascii="楷体" w:hAnsi="楷体" w:eastAsia="楷体" w:cs="楷体"/>
                <w:sz w:val="22"/>
                <w:szCs w:val="24"/>
                <w:highlight w:val="yellow"/>
              </w:rPr>
            </w:pPr>
            <w:r>
              <w:rPr>
                <w:rFonts w:hint="eastAsia" w:ascii="楷体" w:hAnsi="楷体" w:eastAsia="楷体" w:cs="楷体"/>
                <w:sz w:val="22"/>
              </w:rPr>
              <w:t>蚂蚁个人消费贷款资产借款人</w:t>
            </w:r>
          </w:p>
        </w:tc>
        <w:tc>
          <w:tcPr>
            <w:tcW w:w="1410" w:type="dxa"/>
            <w:tcBorders>
              <w:top w:val="single" w:color="auto" w:sz="4" w:space="0"/>
              <w:left w:val="nil"/>
              <w:bottom w:val="single" w:color="auto" w:sz="4" w:space="0"/>
              <w:right w:val="single" w:color="auto" w:sz="4" w:space="0"/>
            </w:tcBorders>
          </w:tcPr>
          <w:p>
            <w:pPr>
              <w:jc w:val="center"/>
              <w:rPr>
                <w:rFonts w:hint="eastAsia" w:ascii="楷体" w:hAnsi="楷体" w:eastAsia="楷体" w:cs="楷体"/>
                <w:sz w:val="22"/>
                <w:szCs w:val="24"/>
                <w:highlight w:val="yellow"/>
              </w:rPr>
            </w:pPr>
            <w:r>
              <w:rPr>
                <w:rFonts w:hint="eastAsia" w:ascii="楷体" w:hAnsi="楷体" w:eastAsia="楷体" w:cs="楷体"/>
                <w:sz w:val="22"/>
              </w:rPr>
              <w:t>中粮信托-民丰111号（蚂蚁借呗）-第二期</w:t>
            </w:r>
          </w:p>
        </w:tc>
        <w:tc>
          <w:tcPr>
            <w:tcW w:w="1245" w:type="dxa"/>
            <w:tcBorders>
              <w:top w:val="single" w:color="auto" w:sz="4" w:space="0"/>
              <w:left w:val="nil"/>
              <w:bottom w:val="single" w:color="auto" w:sz="4" w:space="0"/>
              <w:right w:val="single" w:color="auto" w:sz="4" w:space="0"/>
            </w:tcBorders>
          </w:tcPr>
          <w:p>
            <w:pPr>
              <w:jc w:val="center"/>
              <w:rPr>
                <w:rFonts w:hint="eastAsia" w:ascii="楷体" w:hAnsi="楷体" w:eastAsia="楷体" w:cs="楷体"/>
                <w:sz w:val="22"/>
                <w:szCs w:val="24"/>
                <w:highlight w:val="yellow"/>
              </w:rPr>
            </w:pPr>
            <w:r>
              <w:rPr>
                <w:rFonts w:hint="eastAsia" w:ascii="楷体" w:hAnsi="楷体" w:eastAsia="楷体" w:cs="楷体"/>
                <w:sz w:val="22"/>
              </w:rPr>
              <w:t>432</w:t>
            </w:r>
          </w:p>
        </w:tc>
        <w:tc>
          <w:tcPr>
            <w:tcW w:w="1485" w:type="dxa"/>
            <w:tcBorders>
              <w:top w:val="single" w:color="auto" w:sz="4" w:space="0"/>
              <w:left w:val="nil"/>
              <w:bottom w:val="single" w:color="auto" w:sz="4" w:space="0"/>
              <w:right w:val="single" w:color="auto" w:sz="4" w:space="0"/>
            </w:tcBorders>
          </w:tcPr>
          <w:p>
            <w:pPr>
              <w:jc w:val="center"/>
              <w:rPr>
                <w:rFonts w:hint="eastAsia" w:ascii="楷体" w:hAnsi="楷体" w:eastAsia="楷体" w:cs="楷体"/>
                <w:sz w:val="22"/>
                <w:szCs w:val="24"/>
                <w:highlight w:val="yellow"/>
              </w:rPr>
            </w:pPr>
            <w:r>
              <w:rPr>
                <w:rFonts w:hint="eastAsia" w:ascii="楷体" w:hAnsi="楷体" w:eastAsia="楷体" w:cs="楷体"/>
                <w:sz w:val="22"/>
              </w:rPr>
              <w:t>60,700,000.00</w:t>
            </w:r>
          </w:p>
        </w:tc>
        <w:tc>
          <w:tcPr>
            <w:tcW w:w="1335" w:type="dxa"/>
            <w:tcBorders>
              <w:top w:val="single" w:color="auto" w:sz="4" w:space="0"/>
              <w:left w:val="nil"/>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循环期不还本不付息，摊还期按月过手摊还本息</w:t>
            </w:r>
          </w:p>
        </w:tc>
        <w:tc>
          <w:tcPr>
            <w:tcW w:w="1080" w:type="dxa"/>
            <w:tcBorders>
              <w:top w:val="single" w:color="auto" w:sz="4" w:space="0"/>
              <w:left w:val="nil"/>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投资信托计划产品</w:t>
            </w:r>
          </w:p>
        </w:tc>
        <w:tc>
          <w:tcPr>
            <w:tcW w:w="855" w:type="dxa"/>
            <w:tcBorders>
              <w:top w:val="single" w:color="auto" w:sz="4" w:space="0"/>
              <w:left w:val="nil"/>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正常</w:t>
            </w:r>
          </w:p>
        </w:tc>
      </w:tr>
      <w:tr>
        <w:tblPrEx>
          <w:tblCellMar>
            <w:top w:w="0" w:type="dxa"/>
            <w:left w:w="108" w:type="dxa"/>
            <w:bottom w:w="0" w:type="dxa"/>
            <w:right w:w="108" w:type="dxa"/>
          </w:tblCellMar>
        </w:tblPrEx>
        <w:trPr>
          <w:trHeight w:val="270" w:hRule="atLeast"/>
        </w:trPr>
        <w:tc>
          <w:tcPr>
            <w:tcW w:w="1401" w:type="dxa"/>
            <w:tcBorders>
              <w:top w:val="single" w:color="auto" w:sz="4" w:space="0"/>
              <w:left w:val="single" w:color="auto" w:sz="4" w:space="0"/>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网商银行导流、信托自主审核通过的借款人</w:t>
            </w:r>
          </w:p>
        </w:tc>
        <w:tc>
          <w:tcPr>
            <w:tcW w:w="1410" w:type="dxa"/>
            <w:tcBorders>
              <w:top w:val="single" w:color="auto" w:sz="4" w:space="0"/>
              <w:left w:val="nil"/>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外贸信托-星沐5号1期-网商银行-信托受益权转让-第二期</w:t>
            </w:r>
          </w:p>
        </w:tc>
        <w:tc>
          <w:tcPr>
            <w:tcW w:w="1245" w:type="dxa"/>
            <w:tcBorders>
              <w:top w:val="single" w:color="auto" w:sz="4" w:space="0"/>
              <w:left w:val="nil"/>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439</w:t>
            </w:r>
          </w:p>
        </w:tc>
        <w:tc>
          <w:tcPr>
            <w:tcW w:w="1485" w:type="dxa"/>
            <w:tcBorders>
              <w:top w:val="single" w:color="auto" w:sz="4" w:space="0"/>
              <w:left w:val="nil"/>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4,300,000.00</w:t>
            </w:r>
          </w:p>
        </w:tc>
        <w:tc>
          <w:tcPr>
            <w:tcW w:w="1335" w:type="dxa"/>
            <w:tcBorders>
              <w:top w:val="single" w:color="auto" w:sz="4" w:space="0"/>
              <w:left w:val="nil"/>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循环期不还本不付息，摊还期按月过手摊还本息</w:t>
            </w:r>
          </w:p>
        </w:tc>
        <w:tc>
          <w:tcPr>
            <w:tcW w:w="1080" w:type="dxa"/>
            <w:tcBorders>
              <w:top w:val="single" w:color="auto" w:sz="4" w:space="0"/>
              <w:left w:val="nil"/>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投资收/受益权</w:t>
            </w:r>
          </w:p>
        </w:tc>
        <w:tc>
          <w:tcPr>
            <w:tcW w:w="855" w:type="dxa"/>
            <w:tcBorders>
              <w:top w:val="single" w:color="auto" w:sz="4" w:space="0"/>
              <w:left w:val="nil"/>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正常</w:t>
            </w:r>
          </w:p>
        </w:tc>
      </w:tr>
    </w:tbl>
    <w:p>
      <w:pPr>
        <w:pStyle w:val="14"/>
        <w:rPr>
          <w:rFonts w:hint="eastAsia" w:ascii="楷体" w:hAnsi="楷体" w:eastAsia="楷体" w:cs="楷体"/>
        </w:rPr>
      </w:pPr>
    </w:p>
    <w:p>
      <w:pPr>
        <w:spacing w:line="320" w:lineRule="exact"/>
        <w:ind w:firstLine="220" w:firstLineChars="100"/>
        <w:rPr>
          <w:rFonts w:hint="eastAsia" w:ascii="楷体" w:hAnsi="楷体" w:eastAsia="楷体" w:cs="楷体"/>
        </w:rPr>
      </w:pPr>
      <w:r>
        <w:rPr>
          <w:rFonts w:hint="eastAsia" w:ascii="楷体" w:hAnsi="楷体" w:eastAsia="楷体" w:cs="楷体"/>
          <w:sz w:val="22"/>
          <w:szCs w:val="24"/>
        </w:rPr>
        <w:t>2）融资客户情况</w:t>
      </w:r>
    </w:p>
    <w:tbl>
      <w:tblPr>
        <w:tblStyle w:val="10"/>
        <w:tblW w:w="88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2"/>
        <w:gridCol w:w="1399"/>
        <w:gridCol w:w="1263"/>
        <w:gridCol w:w="47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1412" w:type="dxa"/>
            <w:tcBorders>
              <w:top w:val="single" w:color="auto" w:sz="4" w:space="0"/>
              <w:left w:val="single" w:color="auto" w:sz="4" w:space="0"/>
              <w:bottom w:val="single" w:color="auto" w:sz="4" w:space="0"/>
              <w:right w:val="single" w:color="auto" w:sz="4" w:space="0"/>
            </w:tcBorders>
          </w:tcPr>
          <w:p>
            <w:pPr>
              <w:pStyle w:val="14"/>
              <w:jc w:val="center"/>
              <w:rPr>
                <w:rFonts w:hint="eastAsia" w:ascii="楷体" w:hAnsi="楷体" w:eastAsia="楷体" w:cs="楷体"/>
                <w:sz w:val="24"/>
                <w:szCs w:val="24"/>
              </w:rPr>
            </w:pPr>
            <w:r>
              <w:rPr>
                <w:rFonts w:hint="eastAsia" w:ascii="楷体" w:hAnsi="楷体" w:eastAsia="楷体" w:cs="楷体"/>
                <w:sz w:val="24"/>
                <w:szCs w:val="24"/>
              </w:rPr>
              <w:t>融资客户</w:t>
            </w:r>
          </w:p>
        </w:tc>
        <w:tc>
          <w:tcPr>
            <w:tcW w:w="1399" w:type="dxa"/>
            <w:tcBorders>
              <w:top w:val="single" w:color="auto" w:sz="4" w:space="0"/>
              <w:left w:val="single" w:color="auto" w:sz="4" w:space="0"/>
              <w:bottom w:val="single" w:color="auto" w:sz="4" w:space="0"/>
              <w:right w:val="single" w:color="auto" w:sz="4" w:space="0"/>
            </w:tcBorders>
          </w:tcPr>
          <w:p>
            <w:pPr>
              <w:pStyle w:val="14"/>
              <w:jc w:val="center"/>
              <w:rPr>
                <w:rFonts w:hint="eastAsia" w:ascii="楷体" w:hAnsi="楷体" w:eastAsia="楷体" w:cs="楷体"/>
                <w:sz w:val="24"/>
                <w:szCs w:val="24"/>
              </w:rPr>
            </w:pPr>
            <w:r>
              <w:rPr>
                <w:rFonts w:hint="eastAsia" w:ascii="楷体" w:hAnsi="楷体" w:eastAsia="楷体" w:cs="楷体"/>
                <w:sz w:val="24"/>
                <w:szCs w:val="24"/>
              </w:rPr>
              <w:t>成立日期</w:t>
            </w:r>
          </w:p>
        </w:tc>
        <w:tc>
          <w:tcPr>
            <w:tcW w:w="1263" w:type="dxa"/>
            <w:tcBorders>
              <w:top w:val="single" w:color="auto" w:sz="4" w:space="0"/>
              <w:left w:val="single" w:color="auto" w:sz="4" w:space="0"/>
              <w:bottom w:val="single" w:color="auto" w:sz="4" w:space="0"/>
              <w:right w:val="single" w:color="auto" w:sz="4" w:space="0"/>
            </w:tcBorders>
          </w:tcPr>
          <w:p>
            <w:pPr>
              <w:pStyle w:val="14"/>
              <w:jc w:val="center"/>
              <w:rPr>
                <w:rFonts w:hint="eastAsia" w:ascii="楷体" w:hAnsi="楷体" w:eastAsia="楷体" w:cs="楷体"/>
                <w:sz w:val="24"/>
                <w:szCs w:val="24"/>
              </w:rPr>
            </w:pPr>
            <w:r>
              <w:rPr>
                <w:rFonts w:hint="eastAsia" w:ascii="楷体" w:hAnsi="楷体" w:eastAsia="楷体" w:cs="楷体"/>
                <w:sz w:val="24"/>
                <w:szCs w:val="24"/>
              </w:rPr>
              <w:t>注册资本（元）</w:t>
            </w:r>
          </w:p>
        </w:tc>
        <w:tc>
          <w:tcPr>
            <w:tcW w:w="4746" w:type="dxa"/>
            <w:tcBorders>
              <w:top w:val="single" w:color="auto" w:sz="4" w:space="0"/>
              <w:left w:val="single" w:color="auto" w:sz="4" w:space="0"/>
              <w:bottom w:val="single" w:color="auto" w:sz="4" w:space="0"/>
              <w:right w:val="single" w:color="auto" w:sz="4" w:space="0"/>
            </w:tcBorders>
          </w:tcPr>
          <w:p>
            <w:pPr>
              <w:pStyle w:val="14"/>
              <w:jc w:val="center"/>
              <w:rPr>
                <w:rFonts w:hint="eastAsia" w:ascii="楷体" w:hAnsi="楷体" w:eastAsia="楷体" w:cs="楷体"/>
                <w:sz w:val="24"/>
                <w:szCs w:val="24"/>
              </w:rPr>
            </w:pPr>
            <w:r>
              <w:rPr>
                <w:rFonts w:hint="eastAsia" w:ascii="楷体" w:hAnsi="楷体" w:eastAsia="楷体" w:cs="楷体"/>
                <w:sz w:val="24"/>
                <w:szCs w:val="24"/>
              </w:rPr>
              <w:t>经营范围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2" w:type="dxa"/>
            <w:tcBorders>
              <w:top w:val="single" w:color="auto" w:sz="4" w:space="0"/>
              <w:left w:val="single" w:color="auto" w:sz="4" w:space="0"/>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网商银行导流、信托自主审核通过的借款人</w:t>
            </w:r>
          </w:p>
        </w:tc>
        <w:tc>
          <w:tcPr>
            <w:tcW w:w="1399" w:type="dxa"/>
            <w:tcBorders>
              <w:top w:val="single" w:color="auto" w:sz="4" w:space="0"/>
              <w:left w:val="single" w:color="auto" w:sz="4" w:space="0"/>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w:t>
            </w:r>
          </w:p>
        </w:tc>
        <w:tc>
          <w:tcPr>
            <w:tcW w:w="1263" w:type="dxa"/>
            <w:tcBorders>
              <w:top w:val="single" w:color="auto" w:sz="4" w:space="0"/>
              <w:left w:val="single" w:color="auto" w:sz="4" w:space="0"/>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w:t>
            </w:r>
          </w:p>
        </w:tc>
        <w:tc>
          <w:tcPr>
            <w:tcW w:w="4746" w:type="dxa"/>
            <w:tcBorders>
              <w:top w:val="single" w:color="auto" w:sz="4" w:space="0"/>
              <w:left w:val="single" w:color="auto" w:sz="4" w:space="0"/>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412" w:type="dxa"/>
            <w:tcBorders>
              <w:top w:val="single" w:color="auto" w:sz="4" w:space="0"/>
              <w:left w:val="single" w:color="auto" w:sz="4" w:space="0"/>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蚂蚁个人消费贷款资产借款人</w:t>
            </w:r>
          </w:p>
        </w:tc>
        <w:tc>
          <w:tcPr>
            <w:tcW w:w="1399" w:type="dxa"/>
            <w:tcBorders>
              <w:top w:val="single" w:color="auto" w:sz="4" w:space="0"/>
              <w:left w:val="single" w:color="auto" w:sz="4" w:space="0"/>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w:t>
            </w:r>
          </w:p>
        </w:tc>
        <w:tc>
          <w:tcPr>
            <w:tcW w:w="1263" w:type="dxa"/>
            <w:tcBorders>
              <w:top w:val="single" w:color="auto" w:sz="4" w:space="0"/>
              <w:left w:val="single" w:color="auto" w:sz="4" w:space="0"/>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w:t>
            </w:r>
          </w:p>
        </w:tc>
        <w:tc>
          <w:tcPr>
            <w:tcW w:w="4746" w:type="dxa"/>
            <w:tcBorders>
              <w:top w:val="single" w:color="auto" w:sz="4" w:space="0"/>
              <w:left w:val="single" w:color="auto" w:sz="4" w:space="0"/>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w:t>
            </w:r>
          </w:p>
        </w:tc>
      </w:tr>
    </w:tbl>
    <w:p>
      <w:pPr>
        <w:pStyle w:val="14"/>
        <w:rPr>
          <w:rFonts w:hint="eastAsia" w:ascii="楷体" w:hAnsi="楷体" w:eastAsia="楷体" w:cs="楷体"/>
        </w:rPr>
      </w:pPr>
    </w:p>
    <w:p>
      <w:pPr>
        <w:pStyle w:val="2"/>
        <w:rPr>
          <w:rFonts w:hint="eastAsia" w:ascii="楷体" w:hAnsi="楷体" w:eastAsia="楷体" w:cs="楷体"/>
          <w:b w:val="0"/>
          <w:sz w:val="21"/>
        </w:rPr>
      </w:pPr>
      <w:r>
        <w:rPr>
          <w:rFonts w:hint="eastAsia" w:ascii="楷体" w:hAnsi="楷体" w:eastAsia="楷体" w:cs="楷体"/>
          <w:b w:val="0"/>
          <w:sz w:val="21"/>
        </w:rPr>
        <w:t>（四）关联交易情况</w:t>
      </w:r>
    </w:p>
    <w:p>
      <w:pPr>
        <w:spacing w:line="320" w:lineRule="exact"/>
        <w:ind w:firstLine="220" w:firstLineChars="100"/>
        <w:rPr>
          <w:rFonts w:hint="eastAsia" w:ascii="楷体" w:hAnsi="楷体" w:eastAsia="楷体" w:cs="楷体"/>
          <w:sz w:val="22"/>
          <w:szCs w:val="24"/>
        </w:rPr>
      </w:pPr>
      <w:r>
        <w:rPr>
          <w:rFonts w:hint="eastAsia" w:ascii="楷体" w:hAnsi="楷体" w:eastAsia="楷体" w:cs="楷体"/>
          <w:sz w:val="22"/>
          <w:szCs w:val="24"/>
        </w:rPr>
        <w:t>1）报告期内投资于关联方发行的证券或其他金融工具</w:t>
      </w:r>
    </w:p>
    <w:tbl>
      <w:tblPr>
        <w:tblStyle w:val="9"/>
        <w:tblW w:w="8621" w:type="dxa"/>
        <w:tblInd w:w="0" w:type="dxa"/>
        <w:tblLayout w:type="fixed"/>
        <w:tblCellMar>
          <w:top w:w="0" w:type="dxa"/>
          <w:left w:w="108" w:type="dxa"/>
          <w:bottom w:w="0" w:type="dxa"/>
          <w:right w:w="108" w:type="dxa"/>
        </w:tblCellMar>
      </w:tblPr>
      <w:tblGrid>
        <w:gridCol w:w="1465"/>
        <w:gridCol w:w="1440"/>
        <w:gridCol w:w="1425"/>
        <w:gridCol w:w="2115"/>
        <w:gridCol w:w="2176"/>
      </w:tblGrid>
      <w:tr>
        <w:tblPrEx>
          <w:tblCellMar>
            <w:top w:w="0" w:type="dxa"/>
            <w:left w:w="108" w:type="dxa"/>
            <w:bottom w:w="0" w:type="dxa"/>
            <w:right w:w="108" w:type="dxa"/>
          </w:tblCellMar>
        </w:tblPrEx>
        <w:trPr>
          <w:trHeight w:val="283" w:hRule="atLeast"/>
        </w:trPr>
        <w:tc>
          <w:tcPr>
            <w:tcW w:w="14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关联方名称</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证券代码</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证券简称</w:t>
            </w:r>
          </w:p>
        </w:tc>
        <w:tc>
          <w:tcPr>
            <w:tcW w:w="211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报告期投资的证券数量（张）</w:t>
            </w:r>
          </w:p>
        </w:tc>
        <w:tc>
          <w:tcPr>
            <w:tcW w:w="21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报告期投资的证券金额（元）</w:t>
            </w:r>
          </w:p>
        </w:tc>
      </w:tr>
      <w:tr>
        <w:tblPrEx>
          <w:tblCellMar>
            <w:top w:w="0" w:type="dxa"/>
            <w:left w:w="108" w:type="dxa"/>
            <w:bottom w:w="0" w:type="dxa"/>
            <w:right w:w="108" w:type="dxa"/>
          </w:tblCellMar>
        </w:tblPrEx>
        <w:trPr>
          <w:trHeight w:val="283" w:hRule="atLeast"/>
        </w:trPr>
        <w:tc>
          <w:tcPr>
            <w:tcW w:w="146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144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211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2176"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r>
    </w:tbl>
    <w:p>
      <w:pPr>
        <w:rPr>
          <w:rFonts w:hint="eastAsia" w:ascii="楷体" w:hAnsi="楷体" w:eastAsia="楷体" w:cs="楷体"/>
        </w:rPr>
      </w:pPr>
    </w:p>
    <w:p>
      <w:pPr>
        <w:ind w:firstLine="220" w:firstLineChars="100"/>
        <w:rPr>
          <w:rFonts w:hint="eastAsia" w:ascii="楷体" w:hAnsi="楷体" w:eastAsia="楷体" w:cs="楷体"/>
        </w:rPr>
      </w:pPr>
      <w:r>
        <w:rPr>
          <w:rFonts w:hint="eastAsia" w:ascii="楷体" w:hAnsi="楷体" w:eastAsia="楷体" w:cs="楷体"/>
          <w:sz w:val="22"/>
          <w:szCs w:val="24"/>
        </w:rPr>
        <w:t>2）报告期内投资于关联方承销的证券或其他金融工具</w:t>
      </w:r>
    </w:p>
    <w:tbl>
      <w:tblPr>
        <w:tblStyle w:val="9"/>
        <w:tblW w:w="8621" w:type="dxa"/>
        <w:tblInd w:w="0" w:type="dxa"/>
        <w:tblLayout w:type="fixed"/>
        <w:tblCellMar>
          <w:top w:w="0" w:type="dxa"/>
          <w:left w:w="108" w:type="dxa"/>
          <w:bottom w:w="0" w:type="dxa"/>
          <w:right w:w="108" w:type="dxa"/>
        </w:tblCellMar>
      </w:tblPr>
      <w:tblGrid>
        <w:gridCol w:w="1480"/>
        <w:gridCol w:w="1440"/>
        <w:gridCol w:w="1425"/>
        <w:gridCol w:w="2085"/>
        <w:gridCol w:w="2191"/>
      </w:tblGrid>
      <w:tr>
        <w:tblPrEx>
          <w:tblCellMar>
            <w:top w:w="0" w:type="dxa"/>
            <w:left w:w="108" w:type="dxa"/>
            <w:bottom w:w="0" w:type="dxa"/>
            <w:right w:w="108" w:type="dxa"/>
          </w:tblCellMar>
        </w:tblPrEx>
        <w:trPr>
          <w:trHeight w:val="283" w:hRule="atLeast"/>
        </w:trPr>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关联方名称</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证券代码</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证券简称</w:t>
            </w:r>
          </w:p>
        </w:tc>
        <w:tc>
          <w:tcPr>
            <w:tcW w:w="208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报告期投资的证券数量（张）</w:t>
            </w:r>
          </w:p>
        </w:tc>
        <w:tc>
          <w:tcPr>
            <w:tcW w:w="219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报告期投资的证券金额（元）</w:t>
            </w:r>
          </w:p>
        </w:tc>
      </w:tr>
      <w:tr>
        <w:tblPrEx>
          <w:tblCellMar>
            <w:top w:w="0" w:type="dxa"/>
            <w:left w:w="108" w:type="dxa"/>
            <w:bottom w:w="0" w:type="dxa"/>
            <w:right w:w="108" w:type="dxa"/>
          </w:tblCellMar>
        </w:tblPrEx>
        <w:trPr>
          <w:trHeight w:val="283" w:hRule="atLeast"/>
        </w:trPr>
        <w:tc>
          <w:tcPr>
            <w:tcW w:w="148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144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208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2191"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r>
    </w:tbl>
    <w:p>
      <w:pPr>
        <w:rPr>
          <w:rFonts w:hint="eastAsia" w:ascii="楷体" w:hAnsi="楷体" w:eastAsia="楷体" w:cs="楷体"/>
        </w:rPr>
      </w:pPr>
    </w:p>
    <w:p>
      <w:pPr>
        <w:numPr>
          <w:ilvl w:val="0"/>
          <w:numId w:val="2"/>
        </w:numPr>
        <w:ind w:firstLine="220" w:firstLineChars="100"/>
        <w:rPr>
          <w:rFonts w:hint="eastAsia" w:ascii="楷体" w:hAnsi="楷体" w:eastAsia="楷体" w:cs="楷体"/>
          <w:sz w:val="22"/>
          <w:szCs w:val="24"/>
        </w:rPr>
      </w:pPr>
      <w:r>
        <w:rPr>
          <w:rFonts w:hint="eastAsia" w:ascii="楷体" w:hAnsi="楷体" w:eastAsia="楷体" w:cs="楷体"/>
          <w:sz w:val="22"/>
          <w:szCs w:val="24"/>
        </w:rPr>
        <w:t>报告期内投资于关联方管理的资管产品或其他金融工具</w:t>
      </w:r>
    </w:p>
    <w:tbl>
      <w:tblPr>
        <w:tblStyle w:val="9"/>
        <w:tblW w:w="8621" w:type="dxa"/>
        <w:tblInd w:w="0" w:type="dxa"/>
        <w:tblLayout w:type="fixed"/>
        <w:tblCellMar>
          <w:top w:w="0" w:type="dxa"/>
          <w:left w:w="108" w:type="dxa"/>
          <w:bottom w:w="0" w:type="dxa"/>
          <w:right w:w="108" w:type="dxa"/>
        </w:tblCellMar>
      </w:tblPr>
      <w:tblGrid>
        <w:gridCol w:w="1480"/>
        <w:gridCol w:w="1440"/>
        <w:gridCol w:w="1395"/>
        <w:gridCol w:w="2130"/>
        <w:gridCol w:w="2176"/>
      </w:tblGrid>
      <w:tr>
        <w:tblPrEx>
          <w:tblCellMar>
            <w:top w:w="0" w:type="dxa"/>
            <w:left w:w="108" w:type="dxa"/>
            <w:bottom w:w="0" w:type="dxa"/>
            <w:right w:w="108" w:type="dxa"/>
          </w:tblCellMar>
        </w:tblPrEx>
        <w:trPr>
          <w:trHeight w:val="283" w:hRule="atLeast"/>
        </w:trPr>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关联方名称</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金融工具代码</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金融工具名称</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报告期投资的证券数量</w:t>
            </w:r>
          </w:p>
        </w:tc>
        <w:tc>
          <w:tcPr>
            <w:tcW w:w="21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报告期投资的证券金额（元）</w:t>
            </w:r>
          </w:p>
        </w:tc>
      </w:tr>
      <w:tr>
        <w:tblPrEx>
          <w:tblCellMar>
            <w:top w:w="0" w:type="dxa"/>
            <w:left w:w="108" w:type="dxa"/>
            <w:bottom w:w="0" w:type="dxa"/>
            <w:right w:w="108" w:type="dxa"/>
          </w:tblCellMar>
        </w:tblPrEx>
        <w:trPr>
          <w:trHeight w:val="283" w:hRule="atLeast"/>
        </w:trPr>
        <w:tc>
          <w:tcPr>
            <w:tcW w:w="148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144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213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2176"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r>
    </w:tbl>
    <w:p>
      <w:pPr>
        <w:rPr>
          <w:rFonts w:hint="eastAsia" w:ascii="楷体" w:hAnsi="楷体" w:eastAsia="楷体" w:cs="楷体"/>
          <w:sz w:val="22"/>
          <w:szCs w:val="24"/>
        </w:rPr>
      </w:pPr>
    </w:p>
    <w:p>
      <w:pPr>
        <w:numPr>
          <w:ilvl w:val="0"/>
          <w:numId w:val="2"/>
        </w:numPr>
        <w:ind w:firstLine="220" w:firstLineChars="100"/>
        <w:rPr>
          <w:rFonts w:hint="eastAsia" w:ascii="楷体" w:hAnsi="楷体" w:eastAsia="楷体" w:cs="楷体"/>
          <w:sz w:val="22"/>
          <w:szCs w:val="24"/>
        </w:rPr>
      </w:pPr>
      <w:r>
        <w:rPr>
          <w:rFonts w:hint="eastAsia" w:ascii="楷体" w:hAnsi="楷体" w:eastAsia="楷体" w:cs="楷体"/>
          <w:sz w:val="22"/>
          <w:szCs w:val="24"/>
        </w:rPr>
        <w:t>报告期内的其他关联交易</w:t>
      </w:r>
    </w:p>
    <w:tbl>
      <w:tblPr>
        <w:tblStyle w:val="9"/>
        <w:tblW w:w="8621" w:type="dxa"/>
        <w:tblInd w:w="0" w:type="dxa"/>
        <w:tblLayout w:type="fixed"/>
        <w:tblCellMar>
          <w:top w:w="0" w:type="dxa"/>
          <w:left w:w="108" w:type="dxa"/>
          <w:bottom w:w="0" w:type="dxa"/>
          <w:right w:w="108" w:type="dxa"/>
        </w:tblCellMar>
      </w:tblPr>
      <w:tblGrid>
        <w:gridCol w:w="1930"/>
        <w:gridCol w:w="3540"/>
        <w:gridCol w:w="3151"/>
      </w:tblGrid>
      <w:tr>
        <w:tblPrEx>
          <w:tblCellMar>
            <w:top w:w="0" w:type="dxa"/>
            <w:left w:w="108" w:type="dxa"/>
            <w:bottom w:w="0" w:type="dxa"/>
            <w:right w:w="108" w:type="dxa"/>
          </w:tblCellMar>
        </w:tblPrEx>
        <w:trPr>
          <w:trHeight w:val="283" w:hRule="atLeast"/>
        </w:trPr>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交易类型</w:t>
            </w: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关联方名称</w:t>
            </w:r>
          </w:p>
        </w:tc>
        <w:tc>
          <w:tcPr>
            <w:tcW w:w="315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关联交易金额（元）</w:t>
            </w:r>
          </w:p>
        </w:tc>
      </w:tr>
      <w:tr>
        <w:tblPrEx>
          <w:tblCellMar>
            <w:top w:w="0" w:type="dxa"/>
            <w:left w:w="108" w:type="dxa"/>
            <w:bottom w:w="0" w:type="dxa"/>
            <w:right w:w="108" w:type="dxa"/>
          </w:tblCellMar>
        </w:tblPrEx>
        <w:trPr>
          <w:trHeight w:val="283" w:hRule="atLeast"/>
        </w:trPr>
        <w:tc>
          <w:tcPr>
            <w:tcW w:w="193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代销费</w:t>
            </w:r>
          </w:p>
        </w:tc>
        <w:tc>
          <w:tcPr>
            <w:tcW w:w="354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江苏银行股份有限公司</w:t>
            </w:r>
          </w:p>
        </w:tc>
        <w:tc>
          <w:tcPr>
            <w:tcW w:w="3151"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33,641.06</w:t>
            </w:r>
          </w:p>
        </w:tc>
      </w:tr>
      <w:tr>
        <w:tblPrEx>
          <w:tblCellMar>
            <w:top w:w="0" w:type="dxa"/>
            <w:left w:w="108" w:type="dxa"/>
            <w:bottom w:w="0" w:type="dxa"/>
            <w:right w:w="108" w:type="dxa"/>
          </w:tblCellMar>
        </w:tblPrEx>
        <w:trPr>
          <w:trHeight w:val="283" w:hRule="atLeast"/>
        </w:trPr>
        <w:tc>
          <w:tcPr>
            <w:tcW w:w="193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托管费</w:t>
            </w:r>
          </w:p>
        </w:tc>
        <w:tc>
          <w:tcPr>
            <w:tcW w:w="354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江苏银行股份有限公司</w:t>
            </w:r>
          </w:p>
        </w:tc>
        <w:tc>
          <w:tcPr>
            <w:tcW w:w="3151"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6,790.16</w:t>
            </w:r>
          </w:p>
        </w:tc>
      </w:tr>
    </w:tbl>
    <w:p>
      <w:pPr>
        <w:pStyle w:val="14"/>
        <w:rPr>
          <w:rFonts w:hint="eastAsia" w:ascii="楷体" w:hAnsi="楷体" w:eastAsia="楷体" w:cs="楷体"/>
          <w:sz w:val="21"/>
          <w:szCs w:val="21"/>
        </w:rPr>
      </w:pPr>
      <w:r>
        <w:rPr>
          <w:rFonts w:hint="eastAsia" w:ascii="楷体" w:hAnsi="楷体" w:eastAsia="楷体" w:cs="楷体"/>
          <w:sz w:val="21"/>
          <w:szCs w:val="21"/>
        </w:rPr>
        <w:t>注：本报告中理财产品托管费、代销费、直销费均基于产品实际支付金额进行统计。</w:t>
      </w:r>
    </w:p>
    <w:p>
      <w:pPr>
        <w:pStyle w:val="14"/>
        <w:rPr>
          <w:rFonts w:hint="eastAsia" w:ascii="楷体" w:hAnsi="楷体" w:eastAsia="楷体" w:cs="楷体"/>
        </w:rPr>
      </w:pPr>
    </w:p>
    <w:p>
      <w:pPr>
        <w:rPr>
          <w:rFonts w:hint="eastAsia" w:ascii="楷体" w:hAnsi="楷体" w:eastAsia="楷体" w:cs="楷体"/>
          <w:sz w:val="22"/>
          <w:szCs w:val="24"/>
        </w:rPr>
      </w:pPr>
      <w:r>
        <w:rPr>
          <w:rFonts w:hint="eastAsia" w:ascii="楷体" w:hAnsi="楷体" w:eastAsia="楷体" w:cs="楷体"/>
          <w:sz w:val="22"/>
          <w:szCs w:val="24"/>
        </w:rPr>
        <w:t>（五）自有资金投资情况</w:t>
      </w:r>
    </w:p>
    <w:tbl>
      <w:tblPr>
        <w:tblStyle w:val="9"/>
        <w:tblW w:w="7299" w:type="dxa"/>
        <w:tblInd w:w="0" w:type="dxa"/>
        <w:tblLayout w:type="fixed"/>
        <w:tblCellMar>
          <w:top w:w="0" w:type="dxa"/>
          <w:left w:w="108" w:type="dxa"/>
          <w:bottom w:w="0" w:type="dxa"/>
          <w:right w:w="108" w:type="dxa"/>
        </w:tblCellMar>
      </w:tblPr>
      <w:tblGrid>
        <w:gridCol w:w="2796"/>
        <w:gridCol w:w="4503"/>
      </w:tblGrid>
      <w:tr>
        <w:tblPrEx>
          <w:tblCellMar>
            <w:top w:w="0" w:type="dxa"/>
            <w:left w:w="108" w:type="dxa"/>
            <w:bottom w:w="0" w:type="dxa"/>
            <w:right w:w="108" w:type="dxa"/>
          </w:tblCellMar>
        </w:tblPrEx>
        <w:trPr>
          <w:trHeight w:val="311" w:hRule="atLeast"/>
        </w:trPr>
        <w:tc>
          <w:tcPr>
            <w:tcW w:w="279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产品名称</w:t>
            </w:r>
          </w:p>
        </w:tc>
        <w:tc>
          <w:tcPr>
            <w:tcW w:w="450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持有份额（份）</w:t>
            </w:r>
          </w:p>
        </w:tc>
      </w:tr>
      <w:tr>
        <w:tblPrEx>
          <w:tblCellMar>
            <w:top w:w="0" w:type="dxa"/>
            <w:left w:w="108" w:type="dxa"/>
            <w:bottom w:w="0" w:type="dxa"/>
            <w:right w:w="108" w:type="dxa"/>
          </w:tblCellMar>
        </w:tblPrEx>
        <w:trPr>
          <w:trHeight w:val="378" w:hRule="atLeast"/>
        </w:trPr>
        <w:tc>
          <w:tcPr>
            <w:tcW w:w="2796"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4503"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r>
    </w:tbl>
    <w:p>
      <w:pPr>
        <w:ind w:firstLine="420" w:firstLineChars="200"/>
        <w:rPr>
          <w:rFonts w:hint="eastAsia" w:ascii="楷体" w:hAnsi="楷体" w:eastAsia="楷体" w:cs="楷体"/>
          <w:bCs/>
          <w:kern w:val="0"/>
          <w:sz w:val="21"/>
          <w:szCs w:val="21"/>
        </w:rPr>
      </w:pPr>
      <w:r>
        <w:rPr>
          <w:rFonts w:hint="eastAsia" w:ascii="楷体" w:hAnsi="楷体" w:eastAsia="楷体" w:cs="楷体"/>
          <w:bCs/>
          <w:kern w:val="0"/>
          <w:sz w:val="21"/>
          <w:szCs w:val="21"/>
        </w:rPr>
        <w:t>本公司自有资金投资本公司管理的理财产品适用的费率均不优于其他投资者。</w:t>
      </w:r>
    </w:p>
    <w:p>
      <w:pPr>
        <w:ind w:firstLine="560" w:firstLineChars="200"/>
        <w:rPr>
          <w:rFonts w:hint="eastAsia" w:ascii="楷体" w:hAnsi="楷体" w:eastAsia="楷体" w:cs="楷体"/>
          <w:bCs/>
          <w:kern w:val="0"/>
          <w:szCs w:val="21"/>
        </w:rPr>
      </w:pPr>
    </w:p>
    <w:p>
      <w:pPr>
        <w:rPr>
          <w:rFonts w:hint="eastAsia" w:ascii="楷体" w:hAnsi="楷体" w:eastAsia="楷体" w:cs="楷体"/>
          <w:sz w:val="22"/>
          <w:szCs w:val="24"/>
        </w:rPr>
      </w:pPr>
      <w:r>
        <w:rPr>
          <w:rFonts w:hint="eastAsia" w:ascii="楷体" w:hAnsi="楷体" w:eastAsia="楷体" w:cs="楷体"/>
          <w:sz w:val="22"/>
          <w:szCs w:val="24"/>
        </w:rPr>
        <w:t>（六）理财产品份额变动情况</w:t>
      </w:r>
    </w:p>
    <w:tbl>
      <w:tblPr>
        <w:tblStyle w:val="9"/>
        <w:tblW w:w="7305" w:type="dxa"/>
        <w:tblInd w:w="0" w:type="dxa"/>
        <w:tblLayout w:type="fixed"/>
        <w:tblCellMar>
          <w:top w:w="0" w:type="dxa"/>
          <w:left w:w="108" w:type="dxa"/>
          <w:bottom w:w="0" w:type="dxa"/>
          <w:right w:w="108" w:type="dxa"/>
        </w:tblCellMar>
      </w:tblPr>
      <w:tblGrid>
        <w:gridCol w:w="2798"/>
        <w:gridCol w:w="4507"/>
      </w:tblGrid>
      <w:tr>
        <w:tblPrEx>
          <w:tblCellMar>
            <w:top w:w="0" w:type="dxa"/>
            <w:left w:w="108" w:type="dxa"/>
            <w:bottom w:w="0" w:type="dxa"/>
            <w:right w:w="108" w:type="dxa"/>
          </w:tblCellMar>
        </w:tblPrEx>
        <w:trPr>
          <w:trHeight w:val="311" w:hRule="atLeast"/>
        </w:trPr>
        <w:tc>
          <w:tcPr>
            <w:tcW w:w="2798"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日期</w:t>
            </w:r>
          </w:p>
        </w:tc>
        <w:tc>
          <w:tcPr>
            <w:tcW w:w="4507"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持有份额（份）</w:t>
            </w:r>
          </w:p>
        </w:tc>
      </w:tr>
      <w:tr>
        <w:tblPrEx>
          <w:tblCellMar>
            <w:top w:w="0" w:type="dxa"/>
            <w:left w:w="108" w:type="dxa"/>
            <w:bottom w:w="0" w:type="dxa"/>
            <w:right w:w="108" w:type="dxa"/>
          </w:tblCellMar>
        </w:tblPrEx>
        <w:trPr>
          <w:trHeight w:val="320" w:hRule="atLeast"/>
        </w:trPr>
        <w:tc>
          <w:tcPr>
            <w:tcW w:w="2798" w:type="dxa"/>
            <w:tcBorders>
              <w:top w:val="single" w:color="000000" w:sz="4" w:space="0"/>
              <w:left w:val="single" w:color="000000" w:sz="4" w:space="0"/>
              <w:bottom w:val="single" w:color="000000" w:sz="4" w:space="0"/>
              <w:right w:val="single" w:color="000000" w:sz="4" w:space="0"/>
            </w:tcBorders>
          </w:tcPr>
          <w:p>
            <w:pPr>
              <w:jc w:val="center"/>
              <w:rPr>
                <w:rFonts w:hint="eastAsia" w:ascii="楷体" w:hAnsi="楷体" w:eastAsia="楷体" w:cs="楷体"/>
                <w:sz w:val="22"/>
              </w:rPr>
            </w:pPr>
            <w:r>
              <w:rPr>
                <w:rFonts w:hint="eastAsia" w:ascii="楷体" w:hAnsi="楷体" w:eastAsia="楷体" w:cs="楷体"/>
                <w:sz w:val="22"/>
              </w:rPr>
              <w:t>2025-06-30</w:t>
            </w:r>
          </w:p>
        </w:tc>
        <w:tc>
          <w:tcPr>
            <w:tcW w:w="4507" w:type="dxa"/>
            <w:tcBorders>
              <w:top w:val="single" w:color="000000" w:sz="4" w:space="0"/>
              <w:left w:val="single" w:color="000000" w:sz="4" w:space="0"/>
              <w:bottom w:val="single" w:color="000000" w:sz="4" w:space="0"/>
              <w:right w:val="single" w:color="000000" w:sz="4" w:space="0"/>
            </w:tcBorders>
          </w:tcPr>
          <w:p>
            <w:pPr>
              <w:jc w:val="center"/>
              <w:rPr>
                <w:rFonts w:hint="eastAsia" w:ascii="楷体" w:hAnsi="楷体" w:eastAsia="楷体" w:cs="楷体"/>
                <w:sz w:val="22"/>
              </w:rPr>
            </w:pPr>
            <w:r>
              <w:rPr>
                <w:rFonts w:hint="eastAsia" w:ascii="楷体" w:hAnsi="楷体" w:eastAsia="楷体" w:cs="楷体"/>
                <w:sz w:val="22"/>
              </w:rPr>
              <w:t>131,868,359.00</w:t>
            </w:r>
          </w:p>
        </w:tc>
      </w:tr>
      <w:tr>
        <w:tblPrEx>
          <w:tblCellMar>
            <w:top w:w="0" w:type="dxa"/>
            <w:left w:w="108" w:type="dxa"/>
            <w:bottom w:w="0" w:type="dxa"/>
            <w:right w:w="108" w:type="dxa"/>
          </w:tblCellMar>
        </w:tblPrEx>
        <w:trPr>
          <w:trHeight w:val="320" w:hRule="atLeast"/>
        </w:trPr>
        <w:tc>
          <w:tcPr>
            <w:tcW w:w="2798" w:type="dxa"/>
            <w:tcBorders>
              <w:top w:val="single" w:color="000000" w:sz="4" w:space="0"/>
              <w:left w:val="single" w:color="000000" w:sz="4" w:space="0"/>
              <w:bottom w:val="single" w:color="000000" w:sz="4" w:space="0"/>
              <w:right w:val="single" w:color="000000" w:sz="4" w:space="0"/>
            </w:tcBorders>
          </w:tcPr>
          <w:p>
            <w:pPr>
              <w:pageBreakBefore w:val="0"/>
              <w:jc w:val="center"/>
              <w:textAlignment w:val="auto"/>
            </w:pPr>
            <w:r>
              <w:rPr>
                <w:rFonts w:ascii="楷体" w:hAnsi="楷体" w:eastAsia="楷体" w:cs="楷体"/>
                <w:b w:val="0"/>
                <w:i w:val="0"/>
                <w:strike w:val="0"/>
                <w:color w:val="auto"/>
                <w:position w:val="-1"/>
                <w:sz w:val="22"/>
                <w:u w:val="none"/>
              </w:rPr>
              <w:t>2025-03-31</w:t>
            </w:r>
          </w:p>
        </w:tc>
        <w:tc>
          <w:tcPr>
            <w:tcW w:w="4507" w:type="dxa"/>
            <w:tcBorders>
              <w:top w:val="single" w:color="000000" w:sz="4" w:space="0"/>
              <w:left w:val="single" w:color="000000" w:sz="4" w:space="0"/>
              <w:bottom w:val="single" w:color="000000" w:sz="4" w:space="0"/>
              <w:right w:val="single" w:color="000000" w:sz="4" w:space="0"/>
            </w:tcBorders>
          </w:tcPr>
          <w:p>
            <w:pPr>
              <w:pageBreakBefore w:val="0"/>
              <w:jc w:val="center"/>
              <w:textAlignment w:val="auto"/>
            </w:pPr>
            <w:r>
              <w:rPr>
                <w:rFonts w:ascii="楷体" w:hAnsi="楷体" w:eastAsia="楷体" w:cs="楷体"/>
                <w:b w:val="0"/>
                <w:i w:val="0"/>
                <w:strike w:val="0"/>
                <w:color w:val="auto"/>
                <w:position w:val="-1"/>
                <w:sz w:val="22"/>
                <w:u w:val="none"/>
              </w:rPr>
              <w:t>131,868,359.00</w:t>
            </w:r>
          </w:p>
        </w:tc>
      </w:tr>
    </w:tbl>
    <w:p>
      <w:pPr>
        <w:pStyle w:val="14"/>
        <w:rPr>
          <w:rFonts w:hint="eastAsia" w:ascii="楷体" w:hAnsi="楷体" w:eastAsia="楷体" w:cs="楷体"/>
        </w:rPr>
      </w:pPr>
    </w:p>
    <w:p>
      <w:pPr>
        <w:pStyle w:val="2"/>
        <w:rPr>
          <w:rFonts w:hint="eastAsia" w:ascii="楷体" w:hAnsi="楷体" w:eastAsia="楷体" w:cs="楷体"/>
        </w:rPr>
      </w:pPr>
      <w:r>
        <w:rPr>
          <w:rFonts w:hint="eastAsia" w:ascii="楷体" w:hAnsi="楷体" w:eastAsia="楷体" w:cs="楷体"/>
        </w:rPr>
        <w:t>四.投资运作情况</w:t>
      </w:r>
    </w:p>
    <w:p>
      <w:pPr>
        <w:pStyle w:val="2"/>
        <w:rPr>
          <w:rFonts w:ascii="楷体" w:hAnsi="楷体"/>
          <w:b w:val="0"/>
          <w:sz w:val="21"/>
        </w:rPr>
      </w:pPr>
      <w:r>
        <w:rPr>
          <w:rFonts w:hint="eastAsia" w:ascii="楷体" w:hAnsi="楷体"/>
          <w:b w:val="0"/>
          <w:sz w:val="21"/>
        </w:rPr>
        <w:t>1、</w:t>
      </w:r>
      <w:r>
        <w:rPr>
          <w:rFonts w:ascii="楷体" w:hAnsi="楷体"/>
          <w:b w:val="0"/>
          <w:sz w:val="21"/>
        </w:rPr>
        <w:t>运作期</w:t>
      </w:r>
      <w:r>
        <w:rPr>
          <w:rFonts w:hint="eastAsia" w:ascii="楷体" w:hAnsi="楷体"/>
          <w:b w:val="0"/>
          <w:sz w:val="21"/>
        </w:rPr>
        <w:t>回顾</w:t>
      </w:r>
    </w:p>
    <w:p>
      <w:pPr>
        <w:ind w:firstLine="420" w:firstLineChars="200"/>
        <w:rPr>
          <w:rFonts w:ascii="楷体" w:hAnsi="楷体" w:eastAsia="楷体" w:cs="宋体"/>
          <w:b w:val="0"/>
          <w:bCs/>
          <w:kern w:val="0"/>
          <w:sz w:val="21"/>
          <w:szCs w:val="21"/>
          <w:lang w:val="en-US" w:eastAsia="zh-CN" w:bidi="ar-SA"/>
        </w:rPr>
      </w:pPr>
      <w:r>
        <w:rPr>
          <w:rFonts w:hint="eastAsia" w:ascii="楷体" w:hAnsi="楷体" w:eastAsia="楷体" w:cs="宋体"/>
          <w:b w:val="0"/>
          <w:bCs/>
          <w:kern w:val="0"/>
          <w:sz w:val="21"/>
          <w:szCs w:val="21"/>
          <w:lang w:val="en-US" w:eastAsia="zh-CN" w:bidi="ar-SA"/>
        </w:rPr>
        <w:t>2025年二季度，债市主逻辑依然在于内外部因素影响下资金面的扰动，而此前悬而未决的关税因素在四月初快速放大，债市行情陡然加速，现券收益率近乎直线下行，10Y国债探至1.61%，基本抹平一季度跌幅。此后债市低位附近反复调整修复，开启漫长震荡行情，其中资金面在双降落地、政府债供给压力、银行负债端压力等多方因素中反复扰动，但基本保持平稳态势，市场普遍判断资金面没有持续收紧的基础，债市收益率低波高频震荡，极度内卷下，机构反复博弈抢跑预期，随着季末二季度货政例会召开，双降预期有所降温，季末资金一度趋紧。</w:t>
      </w:r>
    </w:p>
    <w:p>
      <w:pPr>
        <w:ind w:firstLine="420" w:firstLineChars="200"/>
        <w:rPr>
          <w:rFonts w:ascii="楷体" w:hAnsi="楷体" w:eastAsia="楷体" w:cs="宋体"/>
          <w:b w:val="0"/>
          <w:bCs/>
          <w:kern w:val="0"/>
          <w:sz w:val="21"/>
          <w:szCs w:val="21"/>
          <w:lang w:val="en-US" w:eastAsia="zh-CN" w:bidi="ar-SA"/>
        </w:rPr>
      </w:pPr>
      <w:r>
        <w:rPr>
          <w:rFonts w:hint="eastAsia" w:ascii="楷体" w:hAnsi="楷体" w:eastAsia="楷体" w:cs="宋体"/>
          <w:b w:val="0"/>
          <w:bCs/>
          <w:kern w:val="0"/>
          <w:sz w:val="21"/>
          <w:szCs w:val="21"/>
          <w:lang w:val="en-US" w:eastAsia="zh-CN" w:bidi="ar-SA"/>
        </w:rPr>
        <w:t>目标盈系列产品主要是通过对国内外宏观经济态势、利率走势、收益率曲线变化趋势和信用风险变化等因素进行综合分析，逐步优化组合久期，通过债券交易增厚资本利得，力求获得稳健的投资收益。</w:t>
      </w:r>
    </w:p>
    <w:p>
      <w:pPr>
        <w:rPr>
          <w:rFonts w:ascii="楷体" w:hAnsi="楷体" w:eastAsia="楷体" w:cs="宋体"/>
          <w:b w:val="0"/>
          <w:bCs/>
          <w:kern w:val="0"/>
          <w:sz w:val="21"/>
          <w:szCs w:val="21"/>
          <w:lang w:val="en-US" w:eastAsia="zh-CN" w:bidi="ar-SA"/>
        </w:rPr>
      </w:pPr>
    </w:p>
    <w:p>
      <w:pPr>
        <w:pStyle w:val="2"/>
        <w:rPr>
          <w:rFonts w:ascii="楷体" w:hAnsi="楷体" w:eastAsia="楷体" w:cs="宋体"/>
          <w:b w:val="0"/>
          <w:bCs/>
          <w:kern w:val="0"/>
          <w:sz w:val="21"/>
          <w:szCs w:val="21"/>
          <w:lang w:val="en-US" w:eastAsia="zh-CN" w:bidi="ar-SA"/>
        </w:rPr>
      </w:pPr>
      <w:r>
        <w:rPr>
          <w:rFonts w:hint="eastAsia" w:ascii="楷体" w:hAnsi="楷体" w:eastAsia="楷体" w:cs="宋体"/>
          <w:b w:val="0"/>
          <w:bCs/>
          <w:kern w:val="0"/>
          <w:sz w:val="21"/>
          <w:szCs w:val="21"/>
          <w:lang w:val="en-US" w:eastAsia="zh-CN" w:bidi="ar-SA"/>
        </w:rPr>
        <w:t>2、</w:t>
      </w:r>
      <w:r>
        <w:rPr>
          <w:rFonts w:ascii="楷体" w:hAnsi="楷体" w:eastAsia="楷体" w:cs="宋体"/>
          <w:b w:val="0"/>
          <w:bCs/>
          <w:kern w:val="0"/>
          <w:sz w:val="21"/>
          <w:szCs w:val="21"/>
          <w:lang w:val="en-US" w:eastAsia="zh-CN" w:bidi="ar-SA"/>
        </w:rPr>
        <w:t>后市展望及下阶段投资策略</w:t>
      </w:r>
    </w:p>
    <w:p>
      <w:pPr>
        <w:ind w:firstLine="420" w:firstLineChars="200"/>
        <w:rPr>
          <w:rFonts w:ascii="楷体" w:hAnsi="楷体" w:eastAsia="楷体" w:cs="宋体"/>
          <w:b w:val="0"/>
          <w:bCs/>
          <w:kern w:val="0"/>
          <w:sz w:val="21"/>
          <w:szCs w:val="21"/>
          <w:lang w:val="en-US" w:eastAsia="zh-CN" w:bidi="ar-SA"/>
        </w:rPr>
      </w:pPr>
      <w:r>
        <w:rPr>
          <w:rFonts w:hint="eastAsia" w:ascii="楷体" w:hAnsi="楷体" w:eastAsia="楷体" w:cs="宋体"/>
          <w:b w:val="0"/>
          <w:bCs/>
          <w:kern w:val="0"/>
          <w:sz w:val="21"/>
          <w:szCs w:val="21"/>
          <w:lang w:val="en-US" w:eastAsia="zh-CN" w:bidi="ar-SA"/>
        </w:rPr>
        <w:t>展望下一季度，债市利差进一步压缩的空间已极为有限，流动性欠佳品种的风险保护不足问题日益突出。当前资金面整体仍较为宽松，存单等短端利率具备下行空间，其有效突破将为长端利率打开下行空间。在经济弱修复，货币政策整体偏宽松的背景下，市场利率下行趋势未变。后续我们将密切关注政府债券缴款和税期影响、央行政策边际变化等，保持股债均衡配置，致力于为广大投资者创造长期稳健的投资回报。</w:t>
      </w:r>
    </w:p>
    <w:p>
      <w:pPr>
        <w:rPr>
          <w:rFonts w:ascii="楷体" w:hAnsi="楷体" w:eastAsia="楷体" w:cs="宋体"/>
          <w:b w:val="0"/>
          <w:bCs/>
          <w:kern w:val="0"/>
          <w:sz w:val="21"/>
          <w:szCs w:val="21"/>
          <w:lang w:val="en-US" w:eastAsia="zh-CN" w:bidi="ar-SA"/>
        </w:rPr>
      </w:pPr>
    </w:p>
    <w:p>
      <w:pPr>
        <w:pStyle w:val="2"/>
        <w:ind w:left="0"/>
        <w:rPr>
          <w:rFonts w:ascii="楷体" w:hAnsi="楷体" w:eastAsia="楷体" w:cs="宋体"/>
          <w:b w:val="0"/>
          <w:bCs/>
          <w:kern w:val="0"/>
          <w:sz w:val="21"/>
          <w:szCs w:val="21"/>
          <w:lang w:val="en-US" w:eastAsia="zh-CN" w:bidi="ar-SA"/>
        </w:rPr>
      </w:pPr>
      <w:r>
        <w:rPr>
          <w:rFonts w:hint="eastAsia" w:ascii="楷体" w:hAnsi="楷体" w:eastAsia="楷体" w:cs="宋体"/>
          <w:b w:val="0"/>
          <w:bCs/>
          <w:kern w:val="0"/>
          <w:sz w:val="21"/>
          <w:szCs w:val="21"/>
          <w:lang w:val="en-US" w:eastAsia="zh-CN" w:bidi="ar-SA"/>
        </w:rPr>
        <w:t>3、</w:t>
      </w:r>
      <w:r>
        <w:rPr>
          <w:rFonts w:ascii="楷体" w:hAnsi="楷体" w:eastAsia="楷体" w:cs="宋体"/>
          <w:b w:val="0"/>
          <w:bCs/>
          <w:kern w:val="0"/>
          <w:sz w:val="21"/>
          <w:szCs w:val="21"/>
          <w:lang w:val="en-US" w:eastAsia="zh-CN" w:bidi="ar-SA"/>
        </w:rPr>
        <w:t>流动性风险分析</w:t>
      </w:r>
    </w:p>
    <w:p>
      <w:pPr>
        <w:pStyle w:val="2"/>
        <w:ind w:left="0" w:firstLine="420" w:firstLineChars="200"/>
        <w:rPr>
          <w:rFonts w:ascii="楷体" w:hAnsi="楷体" w:eastAsia="楷体" w:cs="宋体"/>
          <w:b w:val="0"/>
          <w:bCs/>
          <w:kern w:val="0"/>
          <w:sz w:val="21"/>
          <w:szCs w:val="21"/>
          <w:lang w:val="en-US" w:eastAsia="zh-CN" w:bidi="ar-SA"/>
        </w:rPr>
      </w:pPr>
      <w:r>
        <w:rPr>
          <w:rFonts w:hint="eastAsia" w:ascii="楷体" w:hAnsi="楷体" w:eastAsia="楷体" w:cs="宋体"/>
          <w:b w:val="0"/>
          <w:bCs/>
          <w:kern w:val="0"/>
          <w:sz w:val="21"/>
          <w:szCs w:val="21"/>
          <w:lang w:val="en-US" w:eastAsia="zh-CN" w:bidi="ar-SA"/>
        </w:rPr>
        <w:t xml:space="preserve">流动性风险方面，本产品持仓资产以高等级标准化债权类资产为主，资产信用资质较好且变现能力强，整体流动性风险可控。    </w:t>
      </w:r>
    </w:p>
    <w:p>
      <w:pPr>
        <w:pStyle w:val="4"/>
        <w:spacing w:before="0" w:line="240" w:lineRule="auto"/>
        <w:ind w:left="0" w:right="0" w:firstLine="0" w:firstLineChars="0"/>
        <w:rPr>
          <w:rFonts w:hint="eastAsia" w:ascii="楷体" w:hAnsi="楷体" w:eastAsia="楷体" w:cs="楷体"/>
          <w:sz w:val="21"/>
        </w:rPr>
      </w:pPr>
      <w:bookmarkStart w:id="1" w:name="_GoBack"/>
      <w:bookmarkEnd w:id="1"/>
    </w:p>
    <w:p>
      <w:pPr>
        <w:ind w:firstLine="560" w:firstLineChars="200"/>
        <w:rPr>
          <w:rFonts w:hint="eastAsia" w:ascii="楷体" w:hAnsi="楷体" w:eastAsia="楷体" w:cs="楷体"/>
          <w:bCs/>
          <w:kern w:val="0"/>
          <w:szCs w:val="21"/>
        </w:rPr>
      </w:pPr>
    </w:p>
    <w:p>
      <w:pPr>
        <w:rPr>
          <w:rFonts w:hint="eastAsia" w:ascii="楷体" w:hAnsi="楷体" w:eastAsia="楷体" w:cs="楷体"/>
        </w:rPr>
      </w:pPr>
    </w:p>
    <w:p>
      <w:pPr>
        <w:ind w:firstLine="560" w:firstLineChars="200"/>
        <w:rPr>
          <w:rFonts w:hint="eastAsia" w:ascii="楷体" w:hAnsi="楷体" w:eastAsia="楷体" w:cs="楷体"/>
          <w:bCs/>
          <w:kern w:val="0"/>
          <w:szCs w:val="21"/>
        </w:rPr>
      </w:pPr>
    </w:p>
    <w:p>
      <w:pPr>
        <w:rPr>
          <w:rFonts w:hint="eastAsia" w:ascii="楷体" w:hAnsi="楷体" w:eastAsia="楷体" w:cs="楷体"/>
          <w:sz w:val="21"/>
          <w:szCs w:val="21"/>
        </w:rPr>
      </w:pPr>
    </w:p>
    <w:p>
      <w:pPr>
        <w:jc w:val="right"/>
        <w:rPr>
          <w:rFonts w:hint="eastAsia" w:ascii="楷体" w:hAnsi="楷体" w:eastAsia="楷体" w:cs="楷体"/>
          <w:sz w:val="21"/>
          <w:szCs w:val="21"/>
        </w:rPr>
      </w:pPr>
      <w:r>
        <w:rPr>
          <w:rFonts w:hint="eastAsia" w:ascii="楷体" w:hAnsi="楷体" w:eastAsia="楷体" w:cs="楷体"/>
          <w:b/>
          <w:sz w:val="21"/>
          <w:szCs w:val="21"/>
        </w:rPr>
        <w:t>苏银理财有限责任公司</w:t>
      </w:r>
    </w:p>
    <w:p>
      <w:pPr>
        <w:ind w:firstLine="630" w:firstLineChars="300"/>
        <w:jc w:val="right"/>
        <w:rPr>
          <w:rFonts w:hint="eastAsia" w:ascii="楷体" w:hAnsi="楷体" w:eastAsia="楷体" w:cs="楷体"/>
          <w:sz w:val="21"/>
          <w:szCs w:val="21"/>
        </w:rPr>
      </w:pPr>
      <w:r>
        <w:rPr>
          <w:rFonts w:hint="eastAsia" w:ascii="楷体" w:hAnsi="楷体" w:eastAsia="楷体" w:cs="楷体"/>
          <w:sz w:val="21"/>
          <w:szCs w:val="21"/>
        </w:rPr>
        <w:t>2025年06月30日</w:t>
      </w:r>
    </w:p>
    <w:p>
      <w:pPr>
        <w:rPr>
          <w:rFonts w:hint="eastAsia" w:ascii="楷体" w:hAnsi="楷体" w:eastAsia="楷体" w:cs="楷体"/>
          <w:sz w:val="21"/>
          <w:szCs w:val="21"/>
        </w:rPr>
      </w:pPr>
    </w:p>
    <w:p>
      <w:pPr>
        <w:rPr>
          <w:rFonts w:hint="eastAsia" w:ascii="楷体" w:hAnsi="楷体" w:eastAsia="楷体" w:cs="楷体"/>
          <w:sz w:val="21"/>
          <w:szCs w:val="21"/>
        </w:rPr>
      </w:pPr>
      <w:r>
        <w:rPr>
          <w:rFonts w:hint="eastAsia" w:ascii="楷体" w:hAnsi="楷体" w:eastAsia="楷体" w:cs="楷体"/>
          <w:sz w:val="21"/>
          <w:szCs w:val="21"/>
        </w:rPr>
        <w:t>备注：本次披露内容解释权归苏银理财所有，不构成任何形式的法律要约或承诺。</w:t>
      </w:r>
    </w:p>
    <w:sectPr>
      <w:headerReference r:id="rId5" w:type="first"/>
      <w:headerReference r:id="rId3" w:type="default"/>
      <w:footerReference r:id="rId6" w:type="default"/>
      <w:headerReference r:id="rId4" w:type="even"/>
      <w:pgSz w:w="11906" w:h="16838"/>
      <w:pgMar w:top="1440" w:right="1800" w:bottom="1440"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4</w:t>
    </w:r>
    <w:r>
      <w:rPr>
        <w:b/>
        <w:bCs/>
        <w:sz w:val="24"/>
        <w:szCs w:val="24"/>
      </w:rP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kinsoku w:val="0"/>
      <w:overflowPunct w:val="0"/>
      <w:spacing w:before="0" w:line="320" w:lineRule="exact"/>
      <w:ind w:left="20"/>
      <w:jc w:val="both"/>
      <w:rPr>
        <w:rFonts w:ascii="楷体" w:hAnsi="楷体" w:eastAsia="楷体" w:cs="黑体"/>
        <w:b/>
        <w:spacing w:val="-2"/>
        <w:sz w:val="24"/>
        <w:szCs w:val="24"/>
      </w:rPr>
    </w:pPr>
    <w:r>
      <w:pict>
        <v:shape id="WordPictureWatermark1026" o:spid="_x0000_s2050" o:spt="75" type="#_x0000_t75" style="position:absolute;left:0pt;height:862.85pt;width:1137.35pt;mso-position-horizontal:center;mso-position-horizontal-relative:margin;mso-position-vertical:center;mso-position-vertical-relative:margin;z-index:-251655168;mso-width-relative:page;mso-height-relative:page;" filled="f" o:preferrelative="t" stroked="f" coordsize="21600,21600" o:allowincell="f">
          <v:path/>
          <v:fill on="f" focussize="0,0"/>
          <v:stroke on="f" joinstyle="miter"/>
          <v:imagedata r:id="rId1" gain="19661f" blacklevel="22938f" o:title="苏银理财"/>
          <o:lock v:ext="edit" aspectratio="t"/>
        </v:shape>
      </w:pict>
    </w:r>
    <w:r>
      <w:pict>
        <v:shape id="图片 1" o:spid="_x0000_s2051" o:spt="75" type="#_x0000_t75" style="position:absolute;left:0pt;margin-left:308.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2" o:title=""/>
          <o:lock v:ext="edit" aspectratio="t"/>
          <w10:wrap type="square"/>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pict>
        <v:shape id="WordPictureWatermark1025" o:spid="_x0000_s204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pict>
        <v:shape id="WordPictureWatermark1027" o:spid="_x0000_s205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B654F3"/>
    <w:multiLevelType w:val="singleLevel"/>
    <w:tmpl w:val="25B654F3"/>
    <w:lvl w:ilvl="0" w:tentative="0">
      <w:start w:val="3"/>
      <w:numFmt w:val="chineseCounting"/>
      <w:suff w:val="nothing"/>
      <w:lvlText w:val="（%1）"/>
      <w:lvlJc w:val="left"/>
      <w:rPr>
        <w:rFonts w:hint="eastAsia"/>
      </w:rPr>
    </w:lvl>
  </w:abstractNum>
  <w:abstractNum w:abstractNumId="1">
    <w:nsid w:val="72183CF9"/>
    <w:multiLevelType w:val="singleLevel"/>
    <w:tmpl w:val="72183CF9"/>
    <w:lvl w:ilvl="0" w:tentative="0">
      <w:start w:val="3"/>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w:rsids>
    <w:rsidRoot w:val="00000000"/>
    <w:rsid w:val="3CE73539"/>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qFormat="1" w:uiPriority="99" w:semiHidden="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1"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99"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99"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宋体" w:cs="宋体"/>
      <w:kern w:val="2"/>
      <w:sz w:val="28"/>
      <w:szCs w:val="22"/>
      <w:lang w:val="en-US" w:eastAsia="zh-CN" w:bidi="ar-SA"/>
    </w:rPr>
  </w:style>
  <w:style w:type="paragraph" w:styleId="2">
    <w:name w:val="heading 3"/>
    <w:basedOn w:val="1"/>
    <w:next w:val="1"/>
    <w:link w:val="23"/>
    <w:qFormat/>
    <w:uiPriority w:val="1"/>
    <w:pPr>
      <w:autoSpaceDE w:val="0"/>
      <w:autoSpaceDN w:val="0"/>
      <w:adjustRightInd w:val="0"/>
      <w:spacing w:before="34"/>
      <w:ind w:left="120"/>
      <w:jc w:val="left"/>
      <w:outlineLvl w:val="2"/>
    </w:pPr>
    <w:rPr>
      <w:rFonts w:ascii="宋体" w:hAnsi="Times New Roman" w:eastAsia="楷体"/>
      <w:b/>
      <w:bCs/>
      <w:kern w:val="0"/>
      <w:sz w:val="24"/>
      <w:szCs w:val="21"/>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unhideWhenUsed/>
    <w:qFormat/>
    <w:uiPriority w:val="99"/>
    <w:pPr>
      <w:jc w:val="left"/>
    </w:pPr>
  </w:style>
  <w:style w:type="paragraph" w:styleId="4">
    <w:name w:val="Body Text"/>
    <w:basedOn w:val="1"/>
    <w:qFormat/>
    <w:uiPriority w:val="1"/>
    <w:pPr>
      <w:autoSpaceDE w:val="0"/>
      <w:autoSpaceDN w:val="0"/>
      <w:adjustRightInd w:val="0"/>
      <w:spacing w:before="162"/>
      <w:ind w:left="120"/>
      <w:jc w:val="left"/>
    </w:pPr>
    <w:rPr>
      <w:rFonts w:ascii="宋体" w:hAnsi="Times New Roman" w:eastAsia="宋体" w:cs="宋体"/>
      <w:kern w:val="0"/>
      <w:sz w:val="20"/>
      <w:szCs w:val="21"/>
    </w:rPr>
  </w:style>
  <w:style w:type="paragraph" w:styleId="5">
    <w:name w:val="Balloon Text"/>
    <w:basedOn w:val="1"/>
    <w:unhideWhenUsed/>
    <w:qFormat/>
    <w:uiPriority w:val="99"/>
    <w:rPr>
      <w:sz w:val="18"/>
      <w:szCs w:val="18"/>
    </w:r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unhideWhenUsed/>
    <w:qFormat/>
    <w:uiPriority w:val="99"/>
    <w:rPr>
      <w:sz w:val="21"/>
      <w:szCs w:val="21"/>
    </w:rPr>
  </w:style>
  <w:style w:type="paragraph" w:customStyle="1" w:styleId="13">
    <w:name w:val="无间隔1"/>
    <w:qFormat/>
    <w:uiPriority w:val="1"/>
    <w:pPr>
      <w:widowControl w:val="0"/>
      <w:jc w:val="both"/>
    </w:pPr>
    <w:rPr>
      <w:rFonts w:ascii="等线" w:hAnsi="等线" w:eastAsia="等线" w:cs="Times New Roman"/>
      <w:kern w:val="2"/>
      <w:sz w:val="21"/>
      <w:szCs w:val="22"/>
      <w:lang w:val="en-US" w:eastAsia="zh-CN" w:bidi="ar-SA"/>
    </w:rPr>
  </w:style>
  <w:style w:type="paragraph" w:customStyle="1" w:styleId="14">
    <w:name w:val="标题4"/>
    <w:basedOn w:val="1"/>
    <w:qFormat/>
    <w:uiPriority w:val="0"/>
    <w:rPr>
      <w:rFonts w:eastAsia="楷体"/>
    </w:rPr>
  </w:style>
  <w:style w:type="character" w:customStyle="1" w:styleId="15">
    <w:name w:val="页眉 字符"/>
    <w:qFormat/>
    <w:uiPriority w:val="99"/>
    <w:rPr>
      <w:sz w:val="18"/>
      <w:szCs w:val="18"/>
    </w:rPr>
  </w:style>
  <w:style w:type="character" w:customStyle="1" w:styleId="16">
    <w:name w:val="页脚 字符"/>
    <w:qFormat/>
    <w:uiPriority w:val="99"/>
    <w:rPr>
      <w:sz w:val="18"/>
      <w:szCs w:val="18"/>
    </w:rPr>
  </w:style>
  <w:style w:type="character" w:customStyle="1" w:styleId="17">
    <w:name w:val="正文文本 字符1"/>
    <w:qFormat/>
    <w:uiPriority w:val="1"/>
    <w:rPr>
      <w:rFonts w:ascii="宋体" w:hAnsi="Times New Roman" w:eastAsia="宋体" w:cs="宋体"/>
      <w:szCs w:val="21"/>
    </w:rPr>
  </w:style>
  <w:style w:type="character" w:customStyle="1" w:styleId="18">
    <w:name w:val="正文文本 字符"/>
    <w:semiHidden/>
    <w:qFormat/>
    <w:uiPriority w:val="99"/>
    <w:rPr>
      <w:kern w:val="2"/>
      <w:sz w:val="21"/>
      <w:szCs w:val="22"/>
    </w:rPr>
  </w:style>
  <w:style w:type="character" w:customStyle="1" w:styleId="19">
    <w:name w:val="批注文字 字符1"/>
    <w:qFormat/>
    <w:uiPriority w:val="99"/>
    <w:rPr>
      <w:kern w:val="2"/>
      <w:sz w:val="21"/>
      <w:szCs w:val="22"/>
    </w:rPr>
  </w:style>
  <w:style w:type="character" w:customStyle="1" w:styleId="20">
    <w:name w:val="批注文字 字符"/>
    <w:semiHidden/>
    <w:qFormat/>
    <w:uiPriority w:val="99"/>
    <w:rPr>
      <w:kern w:val="2"/>
      <w:sz w:val="21"/>
      <w:szCs w:val="22"/>
    </w:rPr>
  </w:style>
  <w:style w:type="character" w:customStyle="1" w:styleId="21">
    <w:name w:val="批注框文本 字符"/>
    <w:semiHidden/>
    <w:qFormat/>
    <w:uiPriority w:val="99"/>
    <w:rPr>
      <w:kern w:val="2"/>
      <w:sz w:val="18"/>
      <w:szCs w:val="18"/>
    </w:rPr>
  </w:style>
  <w:style w:type="character" w:customStyle="1" w:styleId="22">
    <w:name w:val="标题 3 字符"/>
    <w:semiHidden/>
    <w:qFormat/>
    <w:uiPriority w:val="9"/>
    <w:rPr>
      <w:b/>
      <w:bCs/>
      <w:kern w:val="2"/>
      <w:sz w:val="32"/>
      <w:szCs w:val="32"/>
    </w:rPr>
  </w:style>
  <w:style w:type="character" w:customStyle="1" w:styleId="23">
    <w:name w:val="标题 3 字符1"/>
    <w:link w:val="2"/>
    <w:qFormat/>
    <w:uiPriority w:val="1"/>
    <w:rPr>
      <w:rFonts w:ascii="宋体" w:hAnsi="Times New Roman" w:eastAsia="楷体"/>
      <w:b/>
      <w:bCs/>
      <w:sz w:val="24"/>
      <w:szCs w:val="21"/>
    </w:rPr>
  </w:style>
  <w:style w:type="character" w:customStyle="1" w:styleId="24">
    <w:name w:val="标题4 字符"/>
    <w:qFormat/>
    <w:uiPriority w:val="0"/>
    <w:rPr>
      <w:rFonts w:eastAsia="楷体"/>
      <w:kern w:val="2"/>
      <w:sz w:val="21"/>
      <w:szCs w:val="22"/>
    </w:rPr>
  </w:style>
  <w:style w:type="paragraph" w:customStyle="1" w:styleId="25">
    <w:name w:val="Table Text"/>
    <w:basedOn w:val="1"/>
    <w:semiHidden/>
    <w:qFormat/>
    <w:uiPriority w:val="0"/>
    <w:rPr>
      <w:rFonts w:ascii="楷体" w:hAnsi="楷体" w:eastAsia="楷体" w:cs="楷体"/>
      <w:sz w:val="22"/>
    </w:rPr>
  </w:style>
  <w:style w:type="table" w:customStyle="1" w:styleId="2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Info spid="_x0000_s2051"/>
    <customShpInfo spid="_x0000_s2049"/>
    <customShpInfo spid="_x0000_s2052"/>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3.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2</TotalTime>
  <ScaleCrop>false</ScaleCrop>
  <LinksUpToDate>false</LinksUpToDate>
  <CharactersWithSpaces>2803</CharactersWithSpaces>
  <Application>WPS Office_11.8.2.11734_F1E327BC-269C-435d-A152-05C5408002CA</Application>
  <DocSecurity>0</DocSecurity>
</Properties>
</file>

<file path=customXml/item4.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2025-07-14T12:13:26Z</dcterms:modified>
  <cp:revision>22</cp:revision>
  <dc:title>“${prdInfo.PRD_NAME}”理财产品</dc:title>
</cp:core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5dbf03-beff-4bb4-8466-989139540841}">
  <ds:schemaRefs/>
</ds:datastoreItem>
</file>

<file path=customXml/itemProps3.xml><?xml version="1.0" encoding="utf-8"?>
<ds:datastoreItem xmlns:ds="http://schemas.openxmlformats.org/officeDocument/2006/customXml" ds:itemID="{15694c44-99c1-4a01-a3d2-98973046fd8a}">
  <ds:schemaRefs/>
</ds:datastoreItem>
</file>

<file path=customXml/itemProps4.xml><?xml version="1.0" encoding="utf-8"?>
<ds:datastoreItem xmlns:ds="http://schemas.openxmlformats.org/officeDocument/2006/customXml" ds:itemID="{7f3242a2-3248-481f-b830-8b40ef90faf3}">
  <ds:schemaRefs/>
</ds:datastoreItem>
</file>

<file path=docProps/app.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2021-11-18T10:04:00Z</dcterms:created>
  <dc:creator>User</dc:creator>
  <cp:lastModifiedBy>jsyh</cp:lastModifiedBy>
  <dcterms:modified xsi:type="dcterms:W3CDTF">2025-07-15T12:36:58Z</dcterms:modified>
  <dc:title>_x201C__x0024__x007B_prdInfo.PRD_NAME_x007D__x201D_理财产品</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E993E0BA6BAB4B448748FCE25A893CFB</vt:lpwstr>
  </property>
</Properties>
</file>