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苏银理财恒源目标盈18期</w:t>
      </w:r>
      <w:r>
        <w:rPr>
          <w:rFonts w:hint="eastAsia" w:ascii="楷体" w:hAnsi="楷体" w:eastAsia="楷体" w:cs="楷体"/>
          <w:b/>
          <w:sz w:val="36"/>
          <w:szCs w:val="36"/>
        </w:rPr>
        <w:t>”理财产品</w:t>
      </w:r>
    </w:p>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bCs/>
          <w:spacing w:val="4"/>
          <w:sz w:val="36"/>
          <w:szCs w:val="36"/>
        </w:rPr>
        <w:t>2025年二季度</w:t>
      </w:r>
      <w:r>
        <w:rPr>
          <w:rFonts w:hint="eastAsia" w:ascii="楷体" w:hAnsi="楷体" w:eastAsia="楷体" w:cs="楷体"/>
          <w:b/>
          <w:sz w:val="36"/>
          <w:szCs w:val="36"/>
        </w:rPr>
        <w:t>投资管理报告</w:t>
      </w:r>
    </w:p>
    <w:p>
      <w:pPr>
        <w:pStyle w:val="8"/>
        <w:spacing w:before="0" w:beforeAutospacing="0" w:after="0" w:afterAutospacing="0" w:line="360" w:lineRule="auto"/>
        <w:rPr>
          <w:rFonts w:hint="eastAsia"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hint="eastAsia" w:ascii="楷体" w:hAnsi="楷体" w:eastAsia="楷体" w:cs="楷体"/>
        </w:rPr>
      </w:pPr>
      <w:r>
        <w:rPr>
          <w:rFonts w:hint="eastAsia" w:ascii="楷体" w:hAnsi="楷体" w:eastAsia="楷体" w:cs="楷体"/>
        </w:rPr>
        <w:t>“</w:t>
      </w:r>
      <w:r>
        <w:rPr>
          <w:rFonts w:hint="eastAsia" w:ascii="楷体" w:hAnsi="楷体" w:eastAsia="楷体" w:cs="楷体"/>
          <w:spacing w:val="-7"/>
        </w:rPr>
        <w:t>苏银理财恒源目标盈18期</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2024年09月12日</w:t>
      </w:r>
      <w:r>
        <w:rPr>
          <w:rFonts w:hint="eastAsia" w:ascii="楷体" w:hAnsi="楷体" w:eastAsia="楷体" w:cs="楷体"/>
        </w:rPr>
        <w:t>成立，于</w:t>
      </w:r>
      <w:r>
        <w:rPr>
          <w:rFonts w:hint="eastAsia" w:ascii="楷体" w:hAnsi="楷体" w:eastAsia="楷体" w:cs="楷体"/>
          <w:spacing w:val="-7"/>
        </w:rPr>
        <w:t>2024年09月12日</w:t>
      </w:r>
      <w:r>
        <w:rPr>
          <w:rFonts w:hint="eastAsia" w:ascii="楷体" w:hAnsi="楷体" w:eastAsia="楷体" w:cs="楷体"/>
        </w:rPr>
        <w:t>正式投资运作。</w:t>
      </w:r>
    </w:p>
    <w:p>
      <w:pPr>
        <w:pStyle w:val="8"/>
        <w:spacing w:before="0" w:beforeAutospacing="0" w:after="0" w:afterAutospacing="0" w:line="360" w:lineRule="auto"/>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一</w:t>
      </w:r>
      <w:bookmarkStart w:id="0" w:name="_Toc535504139"/>
      <w:r>
        <w:rPr>
          <w:rFonts w:hint="eastAsia" w:ascii="楷体" w:hAnsi="楷体" w:eastAsia="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rFonts w:hint="eastAsia" w:ascii="楷体" w:hAnsi="楷体" w:eastAsia="楷体" w:cs="楷体"/>
                <w:sz w:val="24"/>
                <w:szCs w:val="24"/>
                <w:highlight w:val="yellow"/>
              </w:rPr>
            </w:pPr>
            <w:r>
              <w:rPr>
                <w:rFonts w:hint="eastAsia" w:ascii="楷体" w:hAnsi="楷体" w:eastAsia="楷体" w:cs="楷体"/>
                <w:spacing w:val="-6"/>
                <w:sz w:val="24"/>
                <w:szCs w:val="24"/>
              </w:rPr>
              <w:t>苏银理财恒源目标盈18期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Z7003124000115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rFonts w:hint="eastAsia" w:ascii="楷体" w:hAnsi="楷体" w:eastAsia="楷体" w:cs="楷体"/>
                <w:sz w:val="24"/>
                <w:szCs w:val="24"/>
                <w:highlight w:val="yellow"/>
              </w:rPr>
            </w:pPr>
            <w:r>
              <w:rPr>
                <w:rFonts w:hint="eastAsia" w:ascii="楷体" w:hAnsi="楷体" w:eastAsia="楷体" w:cs="楷体"/>
                <w:spacing w:val="-2"/>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132,583,522.00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136,630,930.52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rFonts w:hint="eastAsia" w:ascii="楷体" w:hAnsi="楷体" w:eastAsia="楷体" w:cs="楷体"/>
                <w:sz w:val="24"/>
                <w:szCs w:val="24"/>
                <w:highlight w:val="yellow"/>
              </w:rPr>
            </w:pPr>
            <w:r>
              <w:rPr>
                <w:rFonts w:hint="eastAsia" w:ascii="楷体" w:hAnsi="楷体" w:eastAsia="楷体" w:cs="楷体"/>
                <w:spacing w:val="-8"/>
                <w:sz w:val="24"/>
                <w:szCs w:val="24"/>
              </w:rPr>
              <w:t>中低风险型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31000188000615810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rFonts w:hint="eastAsia" w:ascii="楷体" w:hAnsi="楷体" w:eastAsia="楷体" w:cs="楷体"/>
                <w:sz w:val="24"/>
                <w:szCs w:val="24"/>
              </w:rPr>
            </w:pPr>
            <w:r>
              <w:rPr>
                <w:rFonts w:hint="eastAsia" w:ascii="楷体" w:hAnsi="楷体" w:eastAsia="楷体" w:cs="楷体"/>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rFonts w:hint="eastAsia" w:ascii="楷体" w:hAnsi="楷体" w:eastAsia="楷体" w:cs="楷体"/>
                <w:sz w:val="24"/>
                <w:szCs w:val="24"/>
              </w:rPr>
            </w:pPr>
            <w:r>
              <w:rPr>
                <w:rFonts w:hint="eastAsia" w:ascii="楷体" w:hAnsi="楷体" w:eastAsia="楷体" w:cs="楷体"/>
                <w:spacing w:val="-1"/>
                <w:sz w:val="24"/>
                <w:szCs w:val="24"/>
              </w:rPr>
              <w:t>176,238,227.24</w:t>
            </w:r>
            <w:r>
              <w:rPr>
                <w:rFonts w:hint="eastAsia" w:ascii="楷体" w:hAnsi="楷体" w:eastAsia="楷体" w:cs="楷体"/>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rFonts w:hint="eastAsia" w:ascii="楷体" w:hAnsi="楷体" w:eastAsia="楷体" w:cs="楷体"/>
                <w:sz w:val="24"/>
                <w:szCs w:val="24"/>
              </w:rPr>
            </w:pPr>
            <w:r>
              <w:rPr>
                <w:rFonts w:hint="eastAsia" w:ascii="楷体" w:hAnsi="楷体" w:eastAsia="楷体" w:cs="楷体"/>
                <w:spacing w:val="-4"/>
                <w:sz w:val="24"/>
                <w:szCs w:val="24"/>
              </w:rPr>
              <w:t>128.99%</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二、产品净值与业绩比较基准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100"/>
        <w:gridCol w:w="1470"/>
        <w:gridCol w:w="1665"/>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spacing w:line="320" w:lineRule="exact"/>
              <w:jc w:val="center"/>
              <w:rPr>
                <w:rFonts w:hint="eastAsia" w:ascii="楷体" w:hAnsi="楷体" w:eastAsia="楷体" w:cs="楷体"/>
              </w:rPr>
            </w:pPr>
            <w:r>
              <w:rPr>
                <w:rFonts w:hint="eastAsia" w:ascii="楷体" w:hAnsi="楷体" w:eastAsia="楷体" w:cs="楷体"/>
                <w:sz w:val="24"/>
                <w:szCs w:val="24"/>
              </w:rPr>
              <w:t>报告日期</w:t>
            </w:r>
          </w:p>
        </w:tc>
        <w:tc>
          <w:tcPr>
            <w:tcW w:w="2100" w:type="dxa"/>
          </w:tcPr>
          <w:p>
            <w:pPr>
              <w:spacing w:line="320" w:lineRule="exact"/>
              <w:jc w:val="center"/>
              <w:rPr>
                <w:rFonts w:hint="eastAsia" w:ascii="楷体" w:hAnsi="楷体" w:eastAsia="楷体" w:cs="楷体"/>
              </w:rPr>
            </w:pPr>
            <w:r>
              <w:rPr>
                <w:rFonts w:hint="eastAsia" w:ascii="楷体" w:hAnsi="楷体" w:eastAsia="楷体" w:cs="楷体"/>
                <w:sz w:val="24"/>
                <w:szCs w:val="24"/>
              </w:rPr>
              <w:t>销售</w:t>
            </w:r>
            <w:r>
              <w:rPr>
                <w:rFonts w:hint="eastAsia" w:ascii="楷体" w:hAnsi="楷体" w:eastAsia="楷体" w:cs="楷体"/>
                <w:sz w:val="24"/>
                <w:szCs w:val="24"/>
                <w:lang w:eastAsia="zh-CN"/>
              </w:rPr>
              <w:t>名</w:t>
            </w:r>
            <w:r>
              <w:rPr>
                <w:rFonts w:hint="eastAsia" w:ascii="楷体" w:hAnsi="楷体" w:eastAsia="楷体" w:cs="楷体"/>
                <w:sz w:val="24"/>
                <w:szCs w:val="24"/>
              </w:rPr>
              <w:t>称</w:t>
            </w:r>
          </w:p>
        </w:tc>
        <w:tc>
          <w:tcPr>
            <w:tcW w:w="1470" w:type="dxa"/>
          </w:tcPr>
          <w:p>
            <w:pPr>
              <w:jc w:val="center"/>
              <w:rPr>
                <w:rFonts w:hint="eastAsia" w:ascii="楷体" w:hAnsi="楷体" w:eastAsia="楷体" w:cs="楷体"/>
              </w:rPr>
            </w:pPr>
            <w:r>
              <w:rPr>
                <w:rFonts w:hint="eastAsia" w:ascii="楷体" w:hAnsi="楷体" w:eastAsia="楷体" w:cs="楷体"/>
                <w:sz w:val="24"/>
                <w:szCs w:val="24"/>
              </w:rPr>
              <w:t>单位净值</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累计单位净值</w:t>
            </w:r>
          </w:p>
        </w:tc>
        <w:tc>
          <w:tcPr>
            <w:tcW w:w="1876" w:type="dxa"/>
          </w:tcPr>
          <w:p>
            <w:pPr>
              <w:jc w:val="center"/>
              <w:rPr>
                <w:rFonts w:hint="eastAsia" w:ascii="楷体" w:hAnsi="楷体" w:eastAsia="楷体" w:cs="楷体"/>
              </w:rPr>
            </w:pPr>
            <w:r>
              <w:rPr>
                <w:rFonts w:hint="eastAsia" w:ascii="楷体" w:hAnsi="楷体" w:eastAsia="楷体" w:cs="楷体"/>
                <w:sz w:val="24"/>
                <w:szCs w:val="24"/>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jc w:val="center"/>
              <w:rPr>
                <w:rFonts w:hint="eastAsia" w:ascii="楷体" w:hAnsi="楷体" w:eastAsia="楷体" w:cs="楷体"/>
                <w:sz w:val="24"/>
                <w:szCs w:val="24"/>
              </w:rPr>
            </w:pPr>
            <w:r>
              <w:rPr>
                <w:rFonts w:hint="eastAsia" w:ascii="楷体" w:hAnsi="楷体" w:eastAsia="楷体" w:cs="楷体"/>
                <w:sz w:val="24"/>
                <w:szCs w:val="24"/>
              </w:rPr>
              <w:t>2025-06-30</w:t>
            </w:r>
          </w:p>
        </w:tc>
        <w:tc>
          <w:tcPr>
            <w:tcW w:w="2100" w:type="dxa"/>
          </w:tcPr>
          <w:p>
            <w:pPr>
              <w:jc w:val="center"/>
              <w:rPr>
                <w:rFonts w:hint="eastAsia" w:ascii="楷体" w:hAnsi="楷体" w:eastAsia="楷体" w:cs="楷体"/>
                <w:sz w:val="24"/>
                <w:szCs w:val="24"/>
              </w:rPr>
            </w:pPr>
            <w:r>
              <w:rPr>
                <w:rFonts w:hint="eastAsia" w:ascii="楷体" w:hAnsi="楷体" w:eastAsia="楷体" w:cs="楷体"/>
                <w:sz w:val="24"/>
                <w:szCs w:val="24"/>
              </w:rPr>
              <w:t>苏银理财恒源目标盈18期</w:t>
            </w:r>
          </w:p>
        </w:tc>
        <w:tc>
          <w:tcPr>
            <w:tcW w:w="1470" w:type="dxa"/>
          </w:tcPr>
          <w:p>
            <w:pPr>
              <w:jc w:val="center"/>
              <w:rPr>
                <w:rFonts w:hint="eastAsia" w:ascii="楷体" w:hAnsi="楷体" w:eastAsia="楷体" w:cs="楷体"/>
                <w:sz w:val="24"/>
                <w:szCs w:val="24"/>
              </w:rPr>
            </w:pPr>
            <w:r>
              <w:rPr>
                <w:rFonts w:hint="eastAsia" w:ascii="楷体" w:hAnsi="楷体" w:eastAsia="楷体" w:cs="楷体"/>
                <w:sz w:val="24"/>
                <w:szCs w:val="24"/>
              </w:rPr>
              <w:t>1.030527</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1.030527</w:t>
            </w:r>
          </w:p>
        </w:tc>
        <w:tc>
          <w:tcPr>
            <w:tcW w:w="1876" w:type="dxa"/>
          </w:tcPr>
          <w:p>
            <w:pPr>
              <w:jc w:val="center"/>
              <w:rPr>
                <w:rFonts w:hint="eastAsia" w:ascii="楷体" w:hAnsi="楷体" w:eastAsia="楷体" w:cs="楷体"/>
                <w:sz w:val="24"/>
                <w:szCs w:val="24"/>
              </w:rPr>
            </w:pPr>
            <w:r>
              <w:rPr>
                <w:rFonts w:hint="eastAsia" w:ascii="楷体" w:hAnsi="楷体" w:eastAsia="楷体" w:cs="楷体"/>
                <w:sz w:val="24"/>
                <w:szCs w:val="24"/>
              </w:rPr>
              <w:t>2.6%-3.6%</w:t>
            </w:r>
          </w:p>
        </w:tc>
      </w:tr>
    </w:tbl>
    <w:p>
      <w:pPr>
        <w:rPr>
          <w:rFonts w:hint="eastAsia" w:ascii="楷体" w:hAnsi="楷体" w:eastAsia="楷体" w:cs="楷体"/>
        </w:rPr>
      </w:pPr>
    </w:p>
    <w:p>
      <w:pPr>
        <w:rPr>
          <w:rFonts w:hint="eastAsia" w:ascii="楷体" w:hAnsi="楷体" w:eastAsia="楷体" w:cs="楷体"/>
          <w:sz w:val="21"/>
          <w:szCs w:val="21"/>
        </w:rPr>
      </w:pPr>
      <w:r>
        <w:rPr>
          <w:rFonts w:hint="eastAsia" w:ascii="楷体" w:hAnsi="楷体" w:eastAsia="楷体" w:cs="楷体"/>
          <w:bCs/>
          <w:kern w:val="0"/>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三、产品投资组合情况</w:t>
      </w:r>
    </w:p>
    <w:p>
      <w:pPr>
        <w:pStyle w:val="2"/>
        <w:rPr>
          <w:rFonts w:hint="eastAsia" w:ascii="楷体" w:hAnsi="楷体" w:eastAsia="楷体" w:cs="楷体"/>
          <w:b w:val="0"/>
          <w:sz w:val="21"/>
        </w:rPr>
      </w:pPr>
      <w:r>
        <w:rPr>
          <w:rFonts w:hint="eastAsia" w:ascii="楷体" w:hAnsi="楷体" w:eastAsia="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hint="eastAsia"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42.16%</w:t>
            </w:r>
          </w:p>
        </w:tc>
        <w:tc>
          <w:tcPr>
            <w:tcW w:w="255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tabs>
                <w:tab w:val="center" w:pos="1522"/>
                <w:tab w:val="right" w:pos="2924"/>
              </w:tabs>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ab/>
            </w:r>
            <w:r>
              <w:rPr>
                <w:rFonts w:hint="eastAsia" w:ascii="楷体" w:hAnsi="楷体" w:eastAsia="楷体" w:cs="楷体"/>
                <w:sz w:val="24"/>
                <w:szCs w:val="24"/>
              </w:rPr>
              <w:t>合计</w:t>
            </w:r>
            <w:r>
              <w:rPr>
                <w:rFonts w:hint="eastAsia" w:ascii="楷体" w:hAnsi="楷体" w:eastAsia="楷体" w:cs="楷体"/>
                <w:sz w:val="24"/>
                <w:szCs w:val="24"/>
                <w:lang w:eastAsia="zh-CN"/>
              </w:rPr>
              <w:tab/>
            </w:r>
          </w:p>
        </w:tc>
        <w:tc>
          <w:tcPr>
            <w:tcW w:w="2610" w:type="dxa"/>
            <w:shd w:val="clear" w:color="auto" w:fill="auto"/>
            <w:vAlign w:val="center"/>
          </w:tcPr>
          <w:p>
            <w:pPr>
              <w:jc w:val="center"/>
              <w:rPr>
                <w:rFonts w:hint="eastAsia" w:ascii="楷体" w:hAnsi="楷体" w:eastAsia="楷体" w:cs="楷体"/>
                <w:sz w:val="24"/>
                <w:szCs w:val="24"/>
              </w:rPr>
            </w:pPr>
            <w:r>
              <w:rPr>
                <w:rFonts w:hint="eastAsia" w:ascii="楷体" w:hAnsi="楷体" w:eastAsia="楷体" w:cs="楷体"/>
                <w:sz w:val="24"/>
                <w:szCs w:val="24"/>
              </w:rPr>
              <w:t>42.16%</w:t>
            </w:r>
          </w:p>
        </w:tc>
        <w:tc>
          <w:tcPr>
            <w:tcW w:w="2550" w:type="dxa"/>
            <w:shd w:val="clear" w:color="auto" w:fill="FFFFFF"/>
            <w:vAlign w:val="center"/>
          </w:tcPr>
          <w:p>
            <w:pPr>
              <w:jc w:val="center"/>
              <w:rPr>
                <w:rFonts w:hint="eastAsia" w:ascii="楷体" w:hAnsi="楷体" w:eastAsia="楷体" w:cs="楷体"/>
                <w:sz w:val="24"/>
                <w:szCs w:val="24"/>
              </w:rPr>
            </w:pPr>
            <w:r>
              <w:rPr>
                <w:rFonts w:hint="eastAsia" w:ascii="楷体" w:hAnsi="楷体" w:eastAsia="楷体" w:cs="楷体"/>
                <w:sz w:val="24"/>
                <w:szCs w:val="24"/>
              </w:rPr>
              <w:t>57.84%</w:t>
            </w:r>
          </w:p>
        </w:tc>
      </w:tr>
    </w:tbl>
    <w:p>
      <w:pPr>
        <w:rPr>
          <w:rFonts w:hint="eastAsia" w:ascii="楷体" w:hAnsi="楷体" w:eastAsia="楷体" w:cs="楷体"/>
        </w:rPr>
      </w:pPr>
    </w:p>
    <w:p>
      <w:pPr>
        <w:pStyle w:val="2"/>
        <w:ind w:left="0"/>
        <w:rPr>
          <w:rFonts w:hint="eastAsia" w:ascii="楷体" w:hAnsi="楷体" w:eastAsia="楷体" w:cs="楷体"/>
          <w:b w:val="0"/>
          <w:sz w:val="21"/>
        </w:rPr>
      </w:pPr>
      <w:r>
        <w:rPr>
          <w:rFonts w:hint="eastAsia" w:ascii="楷体" w:hAnsi="楷体" w:eastAsia="楷体" w:cs="楷体"/>
          <w:b w:val="0"/>
          <w:sz w:val="21"/>
        </w:rPr>
        <w:t>（二）期末理财产品持有的前十项资产</w:t>
      </w:r>
    </w:p>
    <w:tbl>
      <w:tblPr>
        <w:tblStyle w:val="9"/>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jc w:val="center"/>
              <w:rPr>
                <w:rFonts w:hint="eastAsia" w:ascii="楷体" w:hAnsi="楷体" w:eastAsia="楷体" w:cs="楷体"/>
                <w:sz w:val="22"/>
              </w:rPr>
            </w:pPr>
            <w:r>
              <w:rPr>
                <w:rFonts w:hint="eastAsia" w:ascii="楷体" w:hAnsi="楷体" w:eastAsia="楷体" w:cs="楷体"/>
                <w:sz w:val="22"/>
              </w:rPr>
              <w:t>1</w:t>
            </w:r>
          </w:p>
        </w:tc>
        <w:tc>
          <w:tcPr>
            <w:tcW w:w="2434" w:type="dxa"/>
          </w:tcPr>
          <w:p>
            <w:pPr>
              <w:jc w:val="center"/>
              <w:rPr>
                <w:rFonts w:hint="eastAsia" w:ascii="楷体" w:hAnsi="楷体" w:eastAsia="楷体" w:cs="楷体"/>
                <w:sz w:val="22"/>
              </w:rPr>
            </w:pPr>
            <w:r>
              <w:rPr>
                <w:rFonts w:hint="eastAsia" w:ascii="楷体" w:hAnsi="楷体" w:eastAsia="楷体" w:cs="楷体"/>
                <w:sz w:val="22"/>
              </w:rPr>
              <w:t>外贸信托-星沐5号1期-网商银行-信托受益权转让</w:t>
            </w:r>
          </w:p>
        </w:tc>
        <w:tc>
          <w:tcPr>
            <w:tcW w:w="1275" w:type="dxa"/>
          </w:tcPr>
          <w:p>
            <w:pPr>
              <w:jc w:val="center"/>
              <w:rPr>
                <w:rFonts w:hint="eastAsia" w:ascii="楷体" w:hAnsi="楷体" w:eastAsia="楷体" w:cs="楷体"/>
                <w:sz w:val="22"/>
              </w:rPr>
            </w:pPr>
            <w:r>
              <w:rPr>
                <w:rFonts w:hint="eastAsia" w:ascii="楷体" w:hAnsi="楷体" w:eastAsia="楷体" w:cs="楷体"/>
                <w:sz w:val="22"/>
              </w:rPr>
              <w:t>非标准化债权类资产</w:t>
            </w:r>
          </w:p>
        </w:tc>
        <w:tc>
          <w:tcPr>
            <w:tcW w:w="2235" w:type="dxa"/>
          </w:tcPr>
          <w:p>
            <w:pPr>
              <w:jc w:val="center"/>
              <w:rPr>
                <w:rFonts w:hint="eastAsia" w:ascii="楷体" w:hAnsi="楷体" w:eastAsia="楷体" w:cs="楷体"/>
                <w:sz w:val="22"/>
              </w:rPr>
            </w:pPr>
            <w:r>
              <w:rPr>
                <w:rFonts w:hint="eastAsia" w:ascii="楷体" w:hAnsi="楷体" w:eastAsia="楷体" w:cs="楷体"/>
                <w:sz w:val="22"/>
              </w:rPr>
              <w:t>44,718,834.25</w:t>
            </w:r>
          </w:p>
        </w:tc>
        <w:tc>
          <w:tcPr>
            <w:tcW w:w="1800" w:type="dxa"/>
          </w:tcPr>
          <w:p>
            <w:pPr>
              <w:jc w:val="center"/>
              <w:rPr>
                <w:rFonts w:hint="eastAsia" w:ascii="楷体" w:hAnsi="楷体" w:eastAsia="楷体" w:cs="楷体"/>
                <w:sz w:val="22"/>
              </w:rPr>
            </w:pPr>
            <w:r>
              <w:rPr>
                <w:rFonts w:hint="eastAsia" w:ascii="楷体" w:hAnsi="楷体" w:eastAsia="楷体" w:cs="楷体"/>
                <w:sz w:val="22"/>
              </w:rPr>
              <w:t>23.25%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外贸信托-星沐5号1期-网商银行</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非标准化债权类资产</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23,356,030.00</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24广越04</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10,826,312.33</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24华新02</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10,612,320.55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24杭资K1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10,563,397.26</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24交资02</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10,348,795.21</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24创元02</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10,291,843.84</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8</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24铁基02</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10,288,858.22</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9</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24发展03</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10,230,630.41</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24特别国债06</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3,386,338.95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1.76%</w:t>
            </w:r>
          </w:p>
        </w:tc>
      </w:tr>
    </w:tbl>
    <w:p>
      <w:pPr>
        <w:pStyle w:val="14"/>
        <w:rPr>
          <w:rFonts w:hint="eastAsia" w:ascii="楷体" w:hAnsi="楷体" w:eastAsia="楷体" w:cs="楷体"/>
        </w:rPr>
      </w:pPr>
    </w:p>
    <w:p>
      <w:pPr>
        <w:pStyle w:val="2"/>
        <w:numPr>
          <w:ilvl w:val="0"/>
          <w:numId w:val="1"/>
        </w:numPr>
        <w:rPr>
          <w:rFonts w:hint="eastAsia" w:ascii="楷体" w:hAnsi="楷体" w:eastAsia="楷体" w:cs="楷体"/>
          <w:b w:val="0"/>
          <w:sz w:val="21"/>
        </w:rPr>
      </w:pPr>
      <w:r>
        <w:rPr>
          <w:rFonts w:hint="eastAsia" w:ascii="楷体" w:hAnsi="楷体" w:eastAsia="楷体" w:cs="楷体"/>
          <w:b w:val="0"/>
          <w:sz w:val="21"/>
        </w:rPr>
        <w:t>非标资产情况</w:t>
      </w:r>
    </w:p>
    <w:p>
      <w:pPr>
        <w:ind w:firstLine="220" w:firstLineChars="100"/>
        <w:rPr>
          <w:rFonts w:hint="eastAsia"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网商银行导流、信托自主审核通过的借款人</w:t>
            </w:r>
          </w:p>
        </w:tc>
        <w:tc>
          <w:tcPr>
            <w:tcW w:w="141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外贸信托-星沐5号1期-网商银行-信托受益权转让</w:t>
            </w:r>
          </w:p>
        </w:tc>
        <w:tc>
          <w:tcPr>
            <w:tcW w:w="124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439</w:t>
            </w:r>
          </w:p>
        </w:tc>
        <w:tc>
          <w:tcPr>
            <w:tcW w:w="148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43,500,000.00</w:t>
            </w:r>
          </w:p>
        </w:tc>
        <w:tc>
          <w:tcPr>
            <w:tcW w:w="133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循环期不还本不付息，摊还期按月过手摊还本息</w:t>
            </w:r>
          </w:p>
        </w:tc>
        <w:tc>
          <w:tcPr>
            <w:tcW w:w="108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投资收/受益权</w:t>
            </w:r>
          </w:p>
        </w:tc>
        <w:tc>
          <w:tcPr>
            <w:tcW w:w="85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正常</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网商银行导流、信托自主审核通过的借款人</w:t>
            </w:r>
          </w:p>
        </w:tc>
        <w:tc>
          <w:tcPr>
            <w:tcW w:w="141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外贸信托-星沐5号1期-网商银行</w:t>
            </w:r>
          </w:p>
        </w:tc>
        <w:tc>
          <w:tcPr>
            <w:tcW w:w="124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439</w:t>
            </w:r>
          </w:p>
        </w:tc>
        <w:tc>
          <w:tcPr>
            <w:tcW w:w="148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22,700,000.00</w:t>
            </w:r>
          </w:p>
        </w:tc>
        <w:tc>
          <w:tcPr>
            <w:tcW w:w="133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循环期不还本不付息，摊还期按月过手摊还本息</w:t>
            </w:r>
          </w:p>
        </w:tc>
        <w:tc>
          <w:tcPr>
            <w:tcW w:w="108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投资信托计划产品</w:t>
            </w:r>
          </w:p>
        </w:tc>
        <w:tc>
          <w:tcPr>
            <w:tcW w:w="85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正常</w:t>
            </w:r>
          </w:p>
        </w:tc>
      </w:tr>
    </w:tbl>
    <w:p>
      <w:pPr>
        <w:pStyle w:val="14"/>
        <w:rPr>
          <w:rFonts w:hint="eastAsia" w:ascii="楷体" w:hAnsi="楷体" w:eastAsia="楷体" w:cs="楷体"/>
        </w:rPr>
      </w:pPr>
    </w:p>
    <w:p>
      <w:pPr>
        <w:spacing w:line="320" w:lineRule="exact"/>
        <w:ind w:firstLine="220" w:firstLineChars="100"/>
        <w:rPr>
          <w:rFonts w:hint="eastAsia"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网商银行导流、信托自主审核通过的借款人</w:t>
            </w:r>
          </w:p>
        </w:tc>
        <w:tc>
          <w:tcPr>
            <w:tcW w:w="1399"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pStyle w:val="2"/>
        <w:rPr>
          <w:rFonts w:hint="eastAsia" w:ascii="楷体" w:hAnsi="楷体" w:eastAsia="楷体" w:cs="楷体"/>
          <w:b w:val="0"/>
          <w:sz w:val="21"/>
        </w:rPr>
      </w:pPr>
      <w:r>
        <w:rPr>
          <w:rFonts w:hint="eastAsia" w:ascii="楷体" w:hAnsi="楷体" w:eastAsia="楷体" w:cs="楷体"/>
          <w:b w:val="0"/>
          <w:sz w:val="21"/>
        </w:rPr>
        <w:t>（四）关联交易情况</w:t>
      </w:r>
    </w:p>
    <w:p>
      <w:pPr>
        <w:spacing w:line="320" w:lineRule="exact"/>
        <w:ind w:firstLine="220" w:firstLineChars="100"/>
        <w:rPr>
          <w:rFonts w:hint="eastAsia"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465"/>
        <w:gridCol w:w="1440"/>
        <w:gridCol w:w="1425"/>
        <w:gridCol w:w="2115"/>
        <w:gridCol w:w="2176"/>
      </w:tblGrid>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ind w:firstLine="220" w:firstLineChars="100"/>
        <w:rPr>
          <w:rFonts w:hint="eastAsia"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425"/>
        <w:gridCol w:w="2085"/>
        <w:gridCol w:w="2191"/>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395"/>
        <w:gridCol w:w="2130"/>
        <w:gridCol w:w="2176"/>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金融工具代码</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金融工具名称</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sz w:val="22"/>
          <w:szCs w:val="24"/>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1930"/>
        <w:gridCol w:w="3540"/>
        <w:gridCol w:w="3151"/>
      </w:tblGrid>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交易类型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代销费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33,672.31</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6,834.11</w:t>
            </w:r>
          </w:p>
        </w:tc>
      </w:tr>
    </w:tbl>
    <w:p>
      <w:pPr>
        <w:pStyle w:val="14"/>
        <w:rPr>
          <w:rFonts w:hint="eastAsia" w:ascii="楷体" w:hAnsi="楷体" w:eastAsia="楷体" w:cs="楷体"/>
          <w:sz w:val="21"/>
          <w:szCs w:val="21"/>
        </w:rPr>
      </w:pPr>
      <w:r>
        <w:rPr>
          <w:rFonts w:hint="eastAsia" w:ascii="楷体" w:hAnsi="楷体" w:eastAsia="楷体" w:cs="楷体"/>
          <w:sz w:val="21"/>
          <w:szCs w:val="21"/>
        </w:rPr>
        <w:t>注：本报告中理财产品托管费、代销费、直销费均基于产品实际支付金额进行统计。</w:t>
      </w:r>
    </w:p>
    <w:p>
      <w:pPr>
        <w:pStyle w:val="14"/>
        <w:rPr>
          <w:rFonts w:hint="eastAsia" w:ascii="楷体" w:hAnsi="楷体" w:eastAsia="楷体" w:cs="楷体"/>
        </w:rPr>
      </w:pPr>
    </w:p>
    <w:p>
      <w:pPr>
        <w:rPr>
          <w:rFonts w:hint="eastAsia" w:ascii="楷体" w:hAnsi="楷体" w:eastAsia="楷体" w:cs="楷体"/>
          <w:sz w:val="22"/>
          <w:szCs w:val="24"/>
        </w:rPr>
      </w:pPr>
      <w:r>
        <w:rPr>
          <w:rFonts w:hint="eastAsia" w:ascii="楷体" w:hAnsi="楷体" w:eastAsia="楷体" w:cs="楷体"/>
          <w:sz w:val="22"/>
          <w:szCs w:val="24"/>
        </w:rPr>
        <w:t>（五）自有资金投资情况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ind w:firstLine="420" w:firstLineChars="200"/>
        <w:rPr>
          <w:rFonts w:hint="eastAsia"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hint="eastAsia" w:ascii="楷体" w:hAnsi="楷体" w:eastAsia="楷体" w:cs="楷体"/>
          <w:bCs/>
          <w:kern w:val="0"/>
          <w:szCs w:val="21"/>
        </w:rPr>
      </w:pPr>
    </w:p>
    <w:p>
      <w:pPr>
        <w:rPr>
          <w:rFonts w:hint="eastAsia" w:ascii="楷体" w:hAnsi="楷体" w:eastAsia="楷体" w:cs="楷体"/>
          <w:sz w:val="22"/>
          <w:szCs w:val="24"/>
        </w:rPr>
      </w:pPr>
      <w:r>
        <w:rPr>
          <w:rFonts w:hint="eastAsia" w:ascii="楷体" w:hAnsi="楷体" w:eastAsia="楷体" w:cs="楷体"/>
          <w:sz w:val="22"/>
          <w:szCs w:val="24"/>
        </w:rPr>
        <w:t>（六）理财产品份额变动情况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132,583,522.00</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132,583,522.00</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四.投资运作情况</w:t>
      </w:r>
    </w:p>
    <w:p>
      <w:pPr>
        <w:pStyle w:val="2"/>
        <w:rPr>
          <w:rFonts w:ascii="楷体" w:hAnsi="楷体"/>
          <w:b w:val="0"/>
          <w:sz w:val="21"/>
        </w:rPr>
      </w:pPr>
      <w:r>
        <w:rPr>
          <w:rFonts w:hint="eastAsia" w:ascii="楷体" w:hAnsi="楷体"/>
          <w:b w:val="0"/>
          <w:sz w:val="21"/>
        </w:rPr>
        <w:t>1、</w:t>
      </w:r>
      <w:r>
        <w:rPr>
          <w:rFonts w:ascii="楷体" w:hAnsi="楷体"/>
          <w:b w:val="0"/>
          <w:sz w:val="21"/>
        </w:rPr>
        <w:t>运作期</w:t>
      </w:r>
      <w:r>
        <w:rPr>
          <w:rFonts w:hint="eastAsia" w:ascii="楷体" w:hAnsi="楷体"/>
          <w:b w:val="0"/>
          <w:sz w:val="21"/>
        </w:rPr>
        <w:t>回顾</w:t>
      </w:r>
    </w:p>
    <w:p>
      <w:pPr>
        <w:ind w:firstLine="420" w:firstLineChars="200"/>
        <w:rPr>
          <w:rFonts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2025年二季度，债市主逻辑依然在于内外部因素影响下资金面的扰动，而此前悬而未决的关税因素在四月初快速放大，债市行情陡然加速，现券收益率近乎直线下行，10Y国债探至1.61%，基本抹平一季度跌幅。此后债市低位附近反复调整修复，开启漫长震荡行情，其中资金面在双降落地、政府债供给压力、银行负债端压力等多方因素中反复扰动，但基本保持平稳态势，市场普遍判断资金面没有持续收紧的基础，债市收益率低波高频震荡，极度内卷下，机构反复博弈抢跑预期，随着季末二季度货政例会召开，双降预期有所降温，季末资金一度趋紧。</w:t>
      </w:r>
    </w:p>
    <w:p>
      <w:pPr>
        <w:ind w:firstLine="420" w:firstLineChars="200"/>
        <w:rPr>
          <w:rFonts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目标盈系列产品主要是通过对国内外宏观经济态势、利率走势、收益率曲线变化趋势和信用风险变化等因素进行综合分析，逐步优化组合久期，通过债券交易增厚资本利得，力求获得稳健的投资收益。</w:t>
      </w:r>
    </w:p>
    <w:p>
      <w:pPr>
        <w:rPr>
          <w:rFonts w:ascii="楷体" w:hAnsi="楷体" w:eastAsia="楷体" w:cs="宋体"/>
          <w:b w:val="0"/>
          <w:bCs/>
          <w:kern w:val="0"/>
          <w:sz w:val="21"/>
          <w:szCs w:val="21"/>
          <w:lang w:val="en-US" w:eastAsia="zh-CN" w:bidi="ar-SA"/>
        </w:rPr>
      </w:pPr>
    </w:p>
    <w:p>
      <w:pPr>
        <w:pStyle w:val="2"/>
        <w:rPr>
          <w:rFonts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2、</w:t>
      </w:r>
      <w:r>
        <w:rPr>
          <w:rFonts w:ascii="楷体" w:hAnsi="楷体" w:eastAsia="楷体" w:cs="宋体"/>
          <w:b w:val="0"/>
          <w:bCs/>
          <w:kern w:val="0"/>
          <w:sz w:val="21"/>
          <w:szCs w:val="21"/>
          <w:lang w:val="en-US" w:eastAsia="zh-CN" w:bidi="ar-SA"/>
        </w:rPr>
        <w:t>后市展望及下阶段投资策略</w:t>
      </w:r>
    </w:p>
    <w:p>
      <w:pPr>
        <w:ind w:firstLine="420" w:firstLineChars="200"/>
        <w:rPr>
          <w:rFonts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展望下一季度，债市利差进一步压缩的空间已极为有限，流动性欠佳品种的风险保护不足问题日益突出。当前资金面整体仍较为宽松，存单等短端利率具备下行空间，其有效突破将为长端利率打开下行空间。在经济弱修复，货币政策整体偏宽松的背景下，市场利率下行趋势未变。后续我们将密切关注政府债券缴款和税期影响、央行政策边际变化等，保持股债均衡配置，致力于为广大投资者创造长期稳健的投资回报。</w:t>
      </w:r>
    </w:p>
    <w:p>
      <w:pPr>
        <w:rPr>
          <w:rFonts w:ascii="楷体" w:hAnsi="楷体" w:eastAsia="楷体" w:cs="宋体"/>
          <w:b w:val="0"/>
          <w:bCs/>
          <w:kern w:val="0"/>
          <w:sz w:val="21"/>
          <w:szCs w:val="21"/>
          <w:lang w:val="en-US" w:eastAsia="zh-CN" w:bidi="ar-SA"/>
        </w:rPr>
      </w:pPr>
    </w:p>
    <w:p>
      <w:pPr>
        <w:pStyle w:val="2"/>
        <w:ind w:left="0"/>
        <w:rPr>
          <w:rFonts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3、</w:t>
      </w:r>
      <w:r>
        <w:rPr>
          <w:rFonts w:ascii="楷体" w:hAnsi="楷体" w:eastAsia="楷体" w:cs="宋体"/>
          <w:b w:val="0"/>
          <w:bCs/>
          <w:kern w:val="0"/>
          <w:sz w:val="21"/>
          <w:szCs w:val="21"/>
          <w:lang w:val="en-US" w:eastAsia="zh-CN" w:bidi="ar-SA"/>
        </w:rPr>
        <w:t>流动性风险分析</w:t>
      </w:r>
    </w:p>
    <w:p>
      <w:pPr>
        <w:pStyle w:val="2"/>
        <w:ind w:left="0" w:firstLine="420" w:firstLineChars="200"/>
        <w:rPr>
          <w:rFonts w:ascii="楷体" w:hAnsi="楷体" w:eastAsia="楷体" w:cs="宋体"/>
          <w:b w:val="0"/>
          <w:bCs/>
          <w:kern w:val="0"/>
          <w:sz w:val="21"/>
          <w:szCs w:val="21"/>
          <w:lang w:val="en-US" w:eastAsia="zh-CN" w:bidi="ar-SA"/>
        </w:rPr>
      </w:pPr>
      <w:r>
        <w:rPr>
          <w:rFonts w:hint="eastAsia" w:ascii="楷体" w:hAnsi="楷体" w:eastAsia="楷体" w:cs="宋体"/>
          <w:b w:val="0"/>
          <w:bCs/>
          <w:kern w:val="0"/>
          <w:sz w:val="21"/>
          <w:szCs w:val="21"/>
          <w:lang w:val="en-US" w:eastAsia="zh-CN" w:bidi="ar-SA"/>
        </w:rPr>
        <w:t xml:space="preserve">流动性风险方面，本产品持仓资产以高等级标准化债权类资产为主，资产信用资质较好且变现能力强，整体流动性风险可控。    </w:t>
      </w:r>
    </w:p>
    <w:p>
      <w:pPr>
        <w:pStyle w:val="4"/>
        <w:spacing w:before="0" w:line="240" w:lineRule="auto"/>
        <w:ind w:left="0" w:right="0" w:firstLine="0" w:firstLineChars="0"/>
        <w:rPr>
          <w:rFonts w:hint="eastAsia" w:ascii="楷体" w:hAnsi="楷体" w:eastAsia="楷体" w:cs="楷体"/>
          <w:sz w:val="21"/>
        </w:rPr>
      </w:pPr>
      <w:bookmarkStart w:id="1" w:name="_GoBack"/>
      <w:bookmarkEnd w:id="1"/>
    </w:p>
    <w:p>
      <w:pPr>
        <w:ind w:firstLine="560" w:firstLineChars="200"/>
        <w:rPr>
          <w:rFonts w:hint="eastAsia" w:ascii="楷体" w:hAnsi="楷体" w:eastAsia="楷体" w:cs="楷体"/>
          <w:bCs/>
          <w:kern w:val="0"/>
          <w:szCs w:val="21"/>
        </w:rPr>
      </w:pPr>
    </w:p>
    <w:p>
      <w:pPr>
        <w:rPr>
          <w:rFonts w:hint="eastAsia" w:ascii="楷体" w:hAnsi="楷体" w:eastAsia="楷体" w:cs="楷体"/>
        </w:rPr>
      </w:pPr>
    </w:p>
    <w:p>
      <w:pPr>
        <w:ind w:firstLine="560" w:firstLineChars="200"/>
        <w:rPr>
          <w:rFonts w:hint="eastAsia" w:ascii="楷体" w:hAnsi="楷体" w:eastAsia="楷体" w:cs="楷体"/>
          <w:bCs/>
          <w:kern w:val="0"/>
          <w:szCs w:val="21"/>
        </w:rPr>
      </w:pPr>
    </w:p>
    <w:p>
      <w:pPr>
        <w:rPr>
          <w:rFonts w:hint="eastAsia" w:ascii="楷体" w:hAnsi="楷体" w:eastAsia="楷体" w:cs="楷体"/>
          <w:sz w:val="21"/>
          <w:szCs w:val="21"/>
        </w:rPr>
      </w:pPr>
    </w:p>
    <w:p>
      <w:pPr>
        <w:jc w:val="right"/>
        <w:rPr>
          <w:rFonts w:hint="eastAsia" w:ascii="楷体" w:hAnsi="楷体" w:eastAsia="楷体" w:cs="楷体"/>
          <w:sz w:val="21"/>
          <w:szCs w:val="21"/>
        </w:rPr>
      </w:pPr>
      <w:r>
        <w:rPr>
          <w:rFonts w:hint="eastAsia" w:ascii="楷体" w:hAnsi="楷体" w:eastAsia="楷体" w:cs="楷体"/>
          <w:b/>
          <w:sz w:val="21"/>
          <w:szCs w:val="21"/>
        </w:rPr>
        <w:t>苏银理财有限责任公司</w:t>
      </w:r>
    </w:p>
    <w:p>
      <w:pPr>
        <w:ind w:firstLine="630" w:firstLineChars="300"/>
        <w:jc w:val="right"/>
        <w:rPr>
          <w:rFonts w:hint="eastAsia"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205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2051"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204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205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3"/>
      <w:numFmt w:val="decimal"/>
      <w:suff w:val="nothing"/>
      <w:lvlText w:val="%1）"/>
      <w:lvlJc w:val="left"/>
    </w:lvl>
  </w:abstractNum>
  <w:abstractNum w:abstractNumId="1">
    <w:nsid w:val="59ADCABA"/>
    <w:multiLevelType w:val="singleLevel"/>
    <w:tmpl w:val="59ADCABA"/>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6E5E6F3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49"/>
    <customShpInfo spid="_x0000_s2052"/>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fd93a1-bdde-4117-baad-720196ce1430}">
  <ds:schemaRefs/>
</ds:datastoreItem>
</file>

<file path=customXml/itemProps3.xml><?xml version="1.0" encoding="utf-8"?>
<ds:datastoreItem xmlns:ds="http://schemas.openxmlformats.org/officeDocument/2006/customXml" ds:itemID="{2c0e23f1-1031-4496-9880-ac492d317a41}">
  <ds:schemaRefs/>
</ds:datastoreItem>
</file>

<file path=customXml/itemProps4.xml><?xml version="1.0" encoding="utf-8"?>
<ds:datastoreItem xmlns:ds="http://schemas.openxmlformats.org/officeDocument/2006/customXml" ds:itemID="{b8ddeadd-397f-4b93-8afb-a6c4db3e5d47}">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2025-07-15T12:35:34Z</dcterms:modified>
  <dc:title>_x201C__x0024__x007B_prdInfo.PRD_NAME_x007D__x201D_理财产品</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8AE936DFA314494A944C3FFDCF9428A2</vt:lpwstr>
  </property>
</Properties>
</file>