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24" w:rsidRDefault="00E8741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南银理财珠联璧合鑫逸稳一年4</w:t>
      </w:r>
      <w:r w:rsidR="000D6BE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13724" w:rsidRDefault="00E8741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13724" w:rsidRDefault="00E8741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南银理财珠联璧合鑫逸稳一年4</w:t>
      </w:r>
      <w:r w:rsidR="000D6BE6"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期封闭式公募人民币理财产品(产品登记编码Z700322200000</w:t>
      </w:r>
      <w:r w:rsidR="000D6BE6"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</w:t>
      </w:r>
      <w:r w:rsidR="000D6BE6"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)成立于2022年</w:t>
      </w:r>
      <w:r w:rsidR="000D6BE6"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 w:rsidR="000D6BE6">
        <w:rPr>
          <w:rFonts w:ascii="仿宋_GB2312" w:eastAsia="仿宋_GB2312" w:hAnsi="仿宋_GB2312" w:cs="仿宋_GB2312" w:hint="eastAsia"/>
          <w:szCs w:val="21"/>
        </w:rPr>
        <w:t>9</w:t>
      </w:r>
      <w:r>
        <w:rPr>
          <w:rFonts w:ascii="仿宋_GB2312" w:eastAsia="仿宋_GB2312" w:hAnsi="仿宋_GB2312" w:cs="仿宋_GB2312" w:hint="eastAsia"/>
          <w:szCs w:val="21"/>
        </w:rPr>
        <w:t>日,到期日为2023年3月</w:t>
      </w:r>
      <w:r w:rsidR="000D6BE6"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 w:rsidR="003A42FB">
        <w:rPr>
          <w:rFonts w:ascii="仿宋_GB2312" w:eastAsia="仿宋_GB2312" w:hAnsi="仿宋_GB2312" w:cs="仿宋_GB2312" w:hint="eastAsia"/>
          <w:szCs w:val="21"/>
        </w:rPr>
        <w:t>。</w:t>
      </w:r>
      <w:r w:rsidR="003A42FB"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13724">
        <w:trPr>
          <w:trHeight w:val="632"/>
        </w:trPr>
        <w:tc>
          <w:tcPr>
            <w:tcW w:w="3652" w:type="dxa"/>
            <w:vAlign w:val="center"/>
          </w:tcPr>
          <w:p w:rsidR="00413724" w:rsidRDefault="00E8741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13724" w:rsidRDefault="003A42FB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</w:t>
            </w:r>
          </w:p>
        </w:tc>
      </w:tr>
      <w:tr w:rsidR="00413724">
        <w:trPr>
          <w:trHeight w:val="152"/>
        </w:trPr>
        <w:tc>
          <w:tcPr>
            <w:tcW w:w="3652" w:type="dxa"/>
          </w:tcPr>
          <w:p w:rsidR="00413724" w:rsidRDefault="00E8741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13724" w:rsidRDefault="003A42FB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627,748,476.54</w:t>
            </w:r>
          </w:p>
        </w:tc>
      </w:tr>
    </w:tbl>
    <w:p w:rsidR="00413724" w:rsidRDefault="00E8741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注：1.本产品公布净值至小数点后四位,实际收益以投资者收到金额为准。</w:t>
      </w:r>
    </w:p>
    <w:p w:rsidR="00413724" w:rsidRDefault="00E8741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2.份额净值是当日的理财产品单位净值，资产净值是资产对应总价值与其包含的负债之差。</w:t>
      </w:r>
    </w:p>
    <w:p w:rsidR="00413724" w:rsidRDefault="00E8741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13724" w:rsidRDefault="00E8741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13724" w:rsidRDefault="00E8741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13724" w:rsidRDefault="00413724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13724" w:rsidRDefault="00413724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13724" w:rsidRDefault="00E8741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13724" w:rsidRDefault="003A42FB" w:rsidP="003A42FB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413724" w:rsidSect="0041372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41F" w:rsidRDefault="00E8741F" w:rsidP="000D6BE6">
      <w:r>
        <w:separator/>
      </w:r>
    </w:p>
  </w:endnote>
  <w:endnote w:type="continuationSeparator" w:id="1">
    <w:p w:rsidR="00E8741F" w:rsidRDefault="00E8741F" w:rsidP="000D6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41F" w:rsidRDefault="00E8741F" w:rsidP="000D6BE6">
      <w:r>
        <w:separator/>
      </w:r>
    </w:p>
  </w:footnote>
  <w:footnote w:type="continuationSeparator" w:id="1">
    <w:p w:rsidR="00E8741F" w:rsidRDefault="00E8741F" w:rsidP="000D6B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2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13724"/>
    <w:pPr>
      <w:jc w:val="left"/>
    </w:pPr>
  </w:style>
  <w:style w:type="paragraph" w:styleId="a4">
    <w:name w:val="Balloon Text"/>
    <w:basedOn w:val="a"/>
    <w:link w:val="Char"/>
    <w:qFormat/>
    <w:rsid w:val="00413724"/>
    <w:rPr>
      <w:sz w:val="18"/>
      <w:szCs w:val="18"/>
    </w:rPr>
  </w:style>
  <w:style w:type="paragraph" w:styleId="a5">
    <w:name w:val="footer"/>
    <w:basedOn w:val="a"/>
    <w:link w:val="Char0"/>
    <w:qFormat/>
    <w:rsid w:val="00413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13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137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1372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13724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1372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66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