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恒源1年定开30期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“苏银理财</w:t>
      </w:r>
      <w:r>
        <w:rPr>
          <w:rFonts w:hint="eastAsia" w:ascii="楷体" w:hAnsi="楷体" w:eastAsia="楷体"/>
          <w:sz w:val="28"/>
          <w:szCs w:val="28"/>
          <w:lang w:eastAsia="zh-CN"/>
        </w:rPr>
        <w:t>恒源1年定开30期</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10</w:t>
      </w:r>
      <w:r>
        <w:rPr>
          <w:rFonts w:hint="eastAsia" w:ascii="楷体" w:hAnsi="楷体" w:eastAsia="楷体"/>
          <w:sz w:val="28"/>
          <w:szCs w:val="28"/>
          <w:lang w:eastAsia="zh-CN"/>
        </w:rPr>
        <w:t>月</w:t>
      </w:r>
      <w:r>
        <w:rPr>
          <w:rFonts w:hint="eastAsia" w:ascii="楷体" w:hAnsi="楷体" w:eastAsia="楷体"/>
          <w:sz w:val="28"/>
          <w:szCs w:val="28"/>
          <w:lang w:val="en-US" w:eastAsia="zh-CN"/>
        </w:rPr>
        <w:t>31</w:t>
      </w:r>
      <w:r>
        <w:rPr>
          <w:rFonts w:hint="eastAsia" w:ascii="楷体" w:hAnsi="楷体" w:eastAsia="楷体"/>
          <w:sz w:val="28"/>
          <w:szCs w:val="28"/>
          <w:lang w:eastAsia="zh-CN"/>
        </w:rPr>
        <w:t>日至202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10</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6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383"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856"/>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131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恒源1年定开30期</w:t>
                  </w:r>
                  <w:r>
                    <w:rPr>
                      <w:rFonts w:hint="eastAsia" w:ascii="楷体" w:hAnsi="楷体" w:eastAsia="楷体" w:cs="宋体"/>
                      <w:spacing w:val="-2"/>
                      <w:sz w:val="18"/>
                      <w:szCs w:val="18"/>
                      <w:highlight w:val="none"/>
                      <w:lang w:val="en-US" w:eastAsia="zh-CN"/>
                    </w:rPr>
                    <w:t>C</w:t>
                  </w:r>
                </w:p>
              </w:tc>
              <w:tc>
                <w:tcPr>
                  <w:tcW w:w="131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J08730</w:t>
                  </w:r>
                  <w:bookmarkStart w:id="0" w:name="_GoBack"/>
                  <w:bookmarkEnd w:id="0"/>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8"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383" w:type="dxa"/>
            <w:noWrap w:val="0"/>
            <w:vAlign w:val="center"/>
          </w:tcPr>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5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面向个人和机构投资者销售，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bl>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2052" w:type="dxa"/>
            <w:noWrap w:val="0"/>
            <w:vAlign w:val="center"/>
          </w:tcPr>
          <w:p>
            <w:pPr>
              <w:pStyle w:val="11"/>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vertAlign w:val="baseline"/>
              </w:rPr>
            </w:pPr>
            <w:r>
              <w:rPr>
                <w:rFonts w:hint="eastAsia" w:ascii="楷体" w:hAnsi="楷体" w:eastAsia="楷体" w:cs="Times New Roman"/>
                <w:b/>
                <w:bCs/>
                <w:sz w:val="21"/>
                <w:szCs w:val="21"/>
              </w:rPr>
              <w:t>购买起点/追加金额</w:t>
            </w:r>
          </w:p>
        </w:tc>
        <w:tc>
          <w:tcPr>
            <w:tcW w:w="6383" w:type="dxa"/>
            <w:noWrap w:val="0"/>
            <w:vAlign w:val="center"/>
          </w:tcPr>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bl>
          <w:p>
            <w:pPr>
              <w:pStyle w:val="30"/>
              <w:kinsoku w:val="0"/>
              <w:overflowPunct w:val="0"/>
              <w:spacing w:before="12"/>
              <w:ind w:right="73" w:rightChars="35"/>
              <w:jc w:val="both"/>
              <w:rPr>
                <w:rFonts w:hint="eastAsia" w:ascii="楷体" w:hAnsi="楷体" w:eastAsia="楷体" w:cs="Times New Roman"/>
                <w:b/>
                <w:bCs/>
                <w:sz w:val="21"/>
                <w:szCs w:val="21"/>
                <w:vertAlign w:val="baseline"/>
              </w:rPr>
            </w:pPr>
            <w:r>
              <w:rPr>
                <w:rFonts w:hint="eastAsia" w:ascii="楷体" w:hAnsi="楷体" w:eastAsia="楷体" w:cs="宋体"/>
                <w:spacing w:val="-2"/>
                <w:sz w:val="21"/>
                <w:szCs w:val="21"/>
                <w:highlight w:val="none"/>
              </w:rPr>
              <w:t>（以</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383"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31</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11</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383"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2025年11月11日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0"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383" w:type="dxa"/>
            <w:noWrap w:val="0"/>
            <w:vAlign w:val="center"/>
          </w:tcPr>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4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464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开放计划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516"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4641" w:type="dxa"/>
                  <w:noWrap w:val="0"/>
                  <w:vAlign w:val="center"/>
                </w:tcPr>
                <w:p>
                  <w:pPr>
                    <w:pStyle w:val="30"/>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按投资周期开放申购与赎回，投资者可在每个投资周期终止日前7</w:t>
                  </w:r>
                  <w:r>
                    <w:rPr>
                      <w:rFonts w:hint="eastAsia" w:ascii="楷体" w:hAnsi="楷体" w:eastAsia="楷体" w:cs="宋体"/>
                      <w:spacing w:val="-2"/>
                      <w:sz w:val="18"/>
                      <w:szCs w:val="18"/>
                      <w:highlight w:val="none"/>
                      <w:lang w:val="en-US" w:eastAsia="zh-CN"/>
                    </w:rPr>
                    <w:t>个工作</w:t>
                  </w:r>
                  <w:r>
                    <w:rPr>
                      <w:rFonts w:hint="eastAsia" w:ascii="楷体" w:hAnsi="楷体" w:eastAsia="楷体" w:cs="宋体"/>
                      <w:spacing w:val="-2"/>
                      <w:sz w:val="18"/>
                      <w:szCs w:val="18"/>
                      <w:highlight w:val="none"/>
                    </w:rPr>
                    <w:t>日（含投资周期终止日）内，通过销售机构提出申购/赎回申请，管理人于投资周期终止日次日对申购/赎回申请予以统一确认，未赎回的部分份额自动进入下一个投资周期。（以各销售机构设置的开放时间为准</w:t>
                  </w:r>
                  <w:r>
                    <w:rPr>
                      <w:rFonts w:hint="eastAsia" w:ascii="楷体" w:hAnsi="楷体" w:eastAsia="楷体" w:cs="宋体"/>
                      <w:spacing w:val="-2"/>
                      <w:sz w:val="18"/>
                      <w:szCs w:val="18"/>
                      <w:highlight w:val="none"/>
                      <w:lang w:eastAsia="zh-CN"/>
                    </w:rPr>
                    <w:t>）</w:t>
                  </w:r>
                </w:p>
              </w:tc>
            </w:tr>
          </w:tbl>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highlight w:val="none"/>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（2）调整D份额销售对象、认购起点/追加金额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销售对象</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cs="Times New Roman"/>
                <w:sz w:val="21"/>
                <w:szCs w:val="21"/>
                <w:lang w:val="en-US" w:eastAsia="zh-CN"/>
              </w:rPr>
              <w:t>面向个人投资者销售（销售机构江苏银行仅限财富客户购买，江苏银行财富客户指在江苏银行日均资产大于等于200万元的个人客户）。</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面向个人</w:t>
            </w:r>
            <w:r>
              <w:rPr>
                <w:rFonts w:hint="eastAsia" w:ascii="楷体" w:hAnsi="楷体" w:eastAsia="楷体"/>
                <w:sz w:val="21"/>
                <w:szCs w:val="21"/>
                <w:lang w:val="en-US" w:eastAsia="zh-CN"/>
              </w:rPr>
              <w:t>和机构投资者</w:t>
            </w:r>
            <w:r>
              <w:rPr>
                <w:rFonts w:hint="default" w:ascii="楷体" w:hAnsi="楷体" w:eastAsia="楷体"/>
                <w:sz w:val="21"/>
                <w:szCs w:val="21"/>
                <w:lang w:val="en-US" w:eastAsia="zh-CN"/>
              </w:rPr>
              <w:t>销售（销售机构江苏银行个人投资者仅限财富客户，江苏银行财富客户指在江苏银行日均资产大于等于200万元的个人客户</w:t>
            </w:r>
            <w:r>
              <w:rPr>
                <w:rFonts w:hint="eastAsia" w:ascii="楷体" w:hAnsi="楷体" w:eastAsia="楷体"/>
                <w:sz w:val="21"/>
                <w:szCs w:val="21"/>
                <w:lang w:val="en-US" w:eastAsia="zh-CN"/>
              </w:rPr>
              <w:t>；机构投资者具体以销售机构设置为准</w:t>
            </w:r>
            <w:r>
              <w:rPr>
                <w:rFonts w:hint="default" w:ascii="楷体" w:hAnsi="楷体" w:eastAsia="楷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D份额认购起点50万元，追加金额为1万元的整数倍。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（3）调整业绩比较基准与超额业绩报酬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3561"/>
        <w:gridCol w:w="3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604"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w:t>
            </w:r>
            <w:r>
              <w:rPr>
                <w:rFonts w:hint="eastAsia" w:ascii="楷体" w:hAnsi="楷体" w:eastAsia="楷体" w:cs="楷体"/>
                <w:lang w:val="en-US" w:eastAsia="zh-CN"/>
              </w:rPr>
              <w:t>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w:t>
            </w:r>
            <w:r>
              <w:rPr>
                <w:rFonts w:hint="eastAsia" w:ascii="楷体" w:hAnsi="楷体" w:eastAsia="楷体" w:cs="楷体"/>
                <w:lang w:val="en-US" w:eastAsia="zh-CN"/>
              </w:rPr>
              <w:t>2.83</w:t>
            </w:r>
            <w:r>
              <w:rPr>
                <w:rFonts w:hint="default" w:ascii="楷体" w:hAnsi="楷体" w:eastAsia="楷体" w:cs="楷体"/>
                <w:lang w:val="en-US" w:eastAsia="zh-CN"/>
              </w:rPr>
              <w:t>%-</w:t>
            </w:r>
            <w:r>
              <w:rPr>
                <w:rFonts w:hint="eastAsia" w:ascii="楷体" w:hAnsi="楷体" w:eastAsia="楷体" w:cs="楷体"/>
                <w:lang w:val="en-US" w:eastAsia="zh-CN"/>
              </w:rPr>
              <w:t>3.43</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w:t>
            </w:r>
            <w:r>
              <w:rPr>
                <w:rFonts w:hint="eastAsia" w:ascii="楷体" w:hAnsi="楷体" w:eastAsia="楷体" w:cs="楷体"/>
                <w:lang w:val="en-US" w:eastAsia="zh-CN"/>
              </w:rPr>
              <w:t>2.95</w:t>
            </w:r>
            <w:r>
              <w:rPr>
                <w:rFonts w:hint="default" w:ascii="楷体" w:hAnsi="楷体" w:eastAsia="楷体" w:cs="楷体"/>
                <w:lang w:val="en-US" w:eastAsia="zh-CN"/>
              </w:rPr>
              <w:t>%-</w:t>
            </w:r>
            <w:r>
              <w:rPr>
                <w:rFonts w:hint="eastAsia" w:ascii="楷体" w:hAnsi="楷体" w:eastAsia="楷体" w:cs="楷体"/>
                <w:lang w:val="en-US" w:eastAsia="zh-CN"/>
              </w:rPr>
              <w:t>3.55</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J份额</w:t>
            </w:r>
            <w:r>
              <w:rPr>
                <w:rFonts w:hint="eastAsia" w:ascii="楷体" w:hAnsi="楷体" w:eastAsia="楷体" w:cs="楷体"/>
                <w:lang w:val="en-US" w:eastAsia="zh-CN"/>
              </w:rPr>
              <w:t>2.90</w:t>
            </w:r>
            <w:r>
              <w:rPr>
                <w:rFonts w:hint="default" w:ascii="楷体" w:hAnsi="楷体" w:eastAsia="楷体" w:cs="楷体"/>
                <w:lang w:val="en-US" w:eastAsia="zh-CN"/>
              </w:rPr>
              <w:t>%-</w:t>
            </w:r>
            <w:r>
              <w:rPr>
                <w:rFonts w:hint="eastAsia" w:ascii="楷体" w:hAnsi="楷体" w:eastAsia="楷体" w:cs="楷体"/>
                <w:lang w:val="en-US" w:eastAsia="zh-CN"/>
              </w:rPr>
              <w:t>3.50</w:t>
            </w:r>
            <w:r>
              <w:rPr>
                <w:rFonts w:hint="default" w:ascii="楷体" w:hAnsi="楷体" w:eastAsia="楷体" w:cs="楷体"/>
                <w:lang w:val="en-US" w:eastAsia="zh-CN"/>
              </w:rPr>
              <w:t>%</w:t>
            </w:r>
          </w:p>
        </w:tc>
        <w:tc>
          <w:tcPr>
            <w:tcW w:w="3604"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2.63%-3.23%</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J份额 2.70%-3.30%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561"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若R&lt;业绩比较基准下限+（业绩比较基准上限-业绩比较基准下限）*25%，管理人无超额业绩报酬；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若业绩比较基准下限+（业绩比较基准上限-业绩比较基准下限）*25%≤R&lt;业绩比较基准上限，管理人对超出【业绩比较基准下限+（业绩比较基准上限-业绩比较基准下限）*25%】的部分，收取40%的超额业绩报酬；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25%】与业绩比较基准上限之间的部分，收取40%的超额业绩报酬；管理人对超出业绩比较基准上限的部分，收取60%的超额业绩报酬。</w:t>
            </w:r>
          </w:p>
        </w:tc>
        <w:tc>
          <w:tcPr>
            <w:tcW w:w="3604"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管理人按投资周期收取超额业绩报酬。假设单一投资周期的各份额实际年化投资收益在扣除托管费、销售服务费、投资管理费以及运作产品所必须缴纳的税费后为R：</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若R&lt;业绩比较基准下限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，管理人无超额业绩报酬；</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若业绩比较基准下限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≤R&lt;业绩比较基准上限，管理人对超出【业绩比较基准下限+（业绩比较基准上限-业绩比较基准下限）*</w:t>
            </w:r>
            <w:r>
              <w:rPr>
                <w:rFonts w:hint="eastAsia" w:ascii="楷体" w:hAnsi="楷体" w:eastAsia="楷体" w:cs="宋体"/>
                <w:spacing w:val="-2"/>
                <w:sz w:val="18"/>
                <w:szCs w:val="18"/>
                <w:highlight w:val="none"/>
                <w:lang w:val="en-US" w:eastAsia="zh-CN"/>
              </w:rPr>
              <w:t>60</w:t>
            </w:r>
            <w:r>
              <w:rPr>
                <w:rFonts w:hint="eastAsia" w:ascii="楷体" w:hAnsi="楷体" w:eastAsia="楷体" w:cs="宋体"/>
                <w:spacing w:val="-2"/>
                <w:sz w:val="18"/>
                <w:szCs w:val="18"/>
                <w:highlight w:val="none"/>
              </w:rPr>
              <w:t>%】的部分，收取40%的超额业绩报酬；</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若R≥业绩比较基准上限，管理人对</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与业绩比较基准</w:t>
            </w:r>
            <w:r>
              <w:rPr>
                <w:rFonts w:hint="eastAsia" w:ascii="楷体" w:hAnsi="楷体" w:eastAsia="楷体" w:cs="宋体"/>
                <w:spacing w:val="-2"/>
                <w:sz w:val="18"/>
                <w:szCs w:val="18"/>
                <w:highlight w:val="none"/>
                <w:lang w:val="en-US" w:eastAsia="zh-CN"/>
              </w:rPr>
              <w:t>上</w:t>
            </w:r>
            <w:r>
              <w:rPr>
                <w:rFonts w:hint="eastAsia" w:ascii="楷体" w:hAnsi="楷体" w:eastAsia="楷体" w:cs="宋体"/>
                <w:spacing w:val="-2"/>
                <w:sz w:val="18"/>
                <w:szCs w:val="18"/>
                <w:highlight w:val="none"/>
              </w:rPr>
              <w:t>限之间的部分，收取40%的超额业绩报酬；管理人对超出业绩比较基准上限的部分，收取60%的超额业绩报酬。</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（4）调整说明书的销售费和管理费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A份额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B份额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D份额</w:t>
            </w:r>
            <w:r>
              <w:rPr>
                <w:rFonts w:hint="eastAsia" w:ascii="楷体" w:hAnsi="楷体" w:eastAsia="楷体"/>
                <w:sz w:val="20"/>
                <w:szCs w:val="20"/>
              </w:rPr>
              <w:t xml:space="preserve"> </w:t>
            </w:r>
            <w:r>
              <w:rPr>
                <w:rFonts w:hint="eastAsia" w:ascii="楷体" w:hAnsi="楷体" w:eastAsia="楷体"/>
                <w:sz w:val="20"/>
                <w:szCs w:val="20"/>
                <w:lang w:val="en-US" w:eastAsia="zh-CN"/>
              </w:rPr>
              <w:t>0.05</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sz w:val="20"/>
                <w:szCs w:val="20"/>
                <w:lang w:val="en-US" w:eastAsia="zh-CN"/>
              </w:rPr>
              <w:t>J份额</w:t>
            </w:r>
            <w:r>
              <w:rPr>
                <w:rFonts w:hint="eastAsia" w:ascii="楷体" w:hAnsi="楷体" w:eastAsia="楷体"/>
                <w:sz w:val="20"/>
                <w:szCs w:val="20"/>
              </w:rPr>
              <w:t xml:space="preserve"> </w:t>
            </w:r>
            <w:r>
              <w:rPr>
                <w:rFonts w:hint="eastAsia" w:ascii="楷体" w:hAnsi="楷体" w:eastAsia="楷体"/>
                <w:sz w:val="20"/>
                <w:szCs w:val="20"/>
                <w:lang w:val="en-US" w:eastAsia="zh-CN"/>
              </w:rPr>
              <w:t>0.10</w:t>
            </w:r>
            <w:r>
              <w:rPr>
                <w:rFonts w:hint="eastAsia" w:ascii="楷体" w:hAnsi="楷体" w:eastAsia="楷体"/>
                <w:sz w:val="20"/>
                <w:szCs w:val="20"/>
              </w:rPr>
              <w:t>%/年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D份额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J份额 0.50%/年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A份额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B份额 </w:t>
            </w:r>
            <w:r>
              <w:rPr>
                <w:rFonts w:hint="eastAsia" w:ascii="楷体" w:hAnsi="楷体" w:eastAsia="楷体"/>
                <w:sz w:val="20"/>
                <w:szCs w:val="20"/>
                <w:lang w:val="en-US" w:eastAsia="zh-CN"/>
              </w:rPr>
              <w:t>0.27</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D份额</w:t>
            </w:r>
            <w:r>
              <w:rPr>
                <w:rFonts w:hint="eastAsia" w:ascii="楷体" w:hAnsi="楷体" w:eastAsia="楷体"/>
                <w:sz w:val="20"/>
                <w:szCs w:val="20"/>
              </w:rPr>
              <w:t xml:space="preserve"> </w:t>
            </w:r>
            <w:r>
              <w:rPr>
                <w:rFonts w:hint="eastAsia" w:ascii="楷体" w:hAnsi="楷体" w:eastAsia="楷体"/>
                <w:sz w:val="20"/>
                <w:szCs w:val="20"/>
                <w:lang w:val="en-US" w:eastAsia="zh-CN"/>
              </w:rPr>
              <w:t>0.20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18"/>
                <w:szCs w:val="18"/>
                <w:lang w:val="en-US" w:eastAsia="zh-CN"/>
              </w:rPr>
            </w:pPr>
            <w:r>
              <w:rPr>
                <w:rFonts w:hint="eastAsia" w:ascii="楷体" w:hAnsi="楷体" w:eastAsia="楷体"/>
                <w:sz w:val="20"/>
                <w:szCs w:val="20"/>
                <w:lang w:val="en-US" w:eastAsia="zh-CN"/>
              </w:rPr>
              <w:t>J份额</w:t>
            </w:r>
            <w:r>
              <w:rPr>
                <w:rFonts w:hint="eastAsia" w:ascii="楷体" w:hAnsi="楷体" w:eastAsia="楷体"/>
                <w:sz w:val="20"/>
                <w:szCs w:val="20"/>
              </w:rPr>
              <w:t xml:space="preserve"> </w:t>
            </w:r>
            <w:r>
              <w:rPr>
                <w:rFonts w:hint="eastAsia" w:ascii="楷体" w:hAnsi="楷体" w:eastAsia="楷体"/>
                <w:sz w:val="20"/>
                <w:szCs w:val="20"/>
                <w:lang w:val="en-US" w:eastAsia="zh-CN"/>
              </w:rPr>
              <w:t>0.20</w:t>
            </w:r>
            <w:r>
              <w:rPr>
                <w:rFonts w:hint="eastAsia" w:ascii="楷体" w:hAnsi="楷体" w:eastAsia="楷体"/>
                <w:sz w:val="20"/>
                <w:szCs w:val="20"/>
              </w:rPr>
              <w:t>%/年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D份额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sz w:val="18"/>
                <w:szCs w:val="18"/>
                <w:lang w:val="en-US"/>
              </w:rPr>
            </w:pPr>
            <w:r>
              <w:rPr>
                <w:rFonts w:hint="eastAsia" w:ascii="楷体" w:hAnsi="楷体" w:eastAsia="楷体" w:cs="楷体"/>
                <w:lang w:val="en-US" w:eastAsia="zh-CN"/>
              </w:rPr>
              <w:t>J份额 0.70%/年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11</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10</w:t>
      </w:r>
      <w:r>
        <w:rPr>
          <w:rFonts w:hint="eastAsia" w:ascii="楷体" w:hAnsi="楷体" w:eastAsia="楷体"/>
          <w:sz w:val="28"/>
          <w:szCs w:val="28"/>
          <w:lang w:eastAsia="zh-CN"/>
        </w:rPr>
        <w:t>月</w:t>
      </w:r>
      <w:r>
        <w:rPr>
          <w:rFonts w:hint="eastAsia" w:ascii="楷体" w:hAnsi="楷体" w:eastAsia="楷体"/>
          <w:sz w:val="28"/>
          <w:szCs w:val="28"/>
          <w:lang w:val="en-US" w:eastAsia="zh-CN"/>
        </w:rPr>
        <w:t>31</w:t>
      </w:r>
      <w:r>
        <w:rPr>
          <w:rFonts w:hint="eastAsia" w:ascii="楷体" w:hAnsi="楷体" w:eastAsia="楷体"/>
          <w:sz w:val="28"/>
          <w:szCs w:val="28"/>
          <w:lang w:eastAsia="zh-CN"/>
        </w:rPr>
        <w:t>日至20</w:t>
      </w:r>
      <w:r>
        <w:rPr>
          <w:rFonts w:hint="eastAsia" w:ascii="楷体" w:hAnsi="楷体" w:eastAsia="楷体"/>
          <w:sz w:val="28"/>
          <w:szCs w:val="28"/>
          <w:lang w:val="en-US" w:eastAsia="zh-CN"/>
        </w:rPr>
        <w:t>25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10</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5</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10</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21</w:t>
      </w:r>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8A5D13"/>
    <w:rsid w:val="0194431F"/>
    <w:rsid w:val="01E8002F"/>
    <w:rsid w:val="01F10A4B"/>
    <w:rsid w:val="02A62BE9"/>
    <w:rsid w:val="02CD6006"/>
    <w:rsid w:val="02D16326"/>
    <w:rsid w:val="02E14AB1"/>
    <w:rsid w:val="033A123E"/>
    <w:rsid w:val="034335FA"/>
    <w:rsid w:val="036A51AD"/>
    <w:rsid w:val="036E7BB6"/>
    <w:rsid w:val="0383364B"/>
    <w:rsid w:val="03D837A8"/>
    <w:rsid w:val="0479381B"/>
    <w:rsid w:val="04F67774"/>
    <w:rsid w:val="056F4477"/>
    <w:rsid w:val="05C24554"/>
    <w:rsid w:val="05D170A8"/>
    <w:rsid w:val="05E56CDC"/>
    <w:rsid w:val="05FB2EA2"/>
    <w:rsid w:val="0671319E"/>
    <w:rsid w:val="06BC0C53"/>
    <w:rsid w:val="06C61B59"/>
    <w:rsid w:val="07731EDA"/>
    <w:rsid w:val="07EE0FA0"/>
    <w:rsid w:val="084131A0"/>
    <w:rsid w:val="093B5BA9"/>
    <w:rsid w:val="097F69FA"/>
    <w:rsid w:val="099D0555"/>
    <w:rsid w:val="09FF588F"/>
    <w:rsid w:val="0A392F7B"/>
    <w:rsid w:val="0A77384F"/>
    <w:rsid w:val="0ACC4A81"/>
    <w:rsid w:val="0B8445B4"/>
    <w:rsid w:val="0B9C374F"/>
    <w:rsid w:val="0BA11BEE"/>
    <w:rsid w:val="0BEC30C9"/>
    <w:rsid w:val="0C48088E"/>
    <w:rsid w:val="0C894AB8"/>
    <w:rsid w:val="0D0D51A1"/>
    <w:rsid w:val="0D200BB6"/>
    <w:rsid w:val="0D5F63C0"/>
    <w:rsid w:val="0D7972CE"/>
    <w:rsid w:val="0DAF4280"/>
    <w:rsid w:val="0E422521"/>
    <w:rsid w:val="0E5674C0"/>
    <w:rsid w:val="0EC72E07"/>
    <w:rsid w:val="0F3C6B23"/>
    <w:rsid w:val="0F663BA5"/>
    <w:rsid w:val="0F7067E8"/>
    <w:rsid w:val="0F923AB0"/>
    <w:rsid w:val="0FAF10CE"/>
    <w:rsid w:val="104E53CE"/>
    <w:rsid w:val="10831037"/>
    <w:rsid w:val="109F1442"/>
    <w:rsid w:val="10D765E7"/>
    <w:rsid w:val="10E55ACF"/>
    <w:rsid w:val="10EA422A"/>
    <w:rsid w:val="10F37717"/>
    <w:rsid w:val="112B3525"/>
    <w:rsid w:val="11DE70DE"/>
    <w:rsid w:val="11F8532A"/>
    <w:rsid w:val="12141D1F"/>
    <w:rsid w:val="12305220"/>
    <w:rsid w:val="128C6FF6"/>
    <w:rsid w:val="129928EB"/>
    <w:rsid w:val="12A24576"/>
    <w:rsid w:val="12FD043A"/>
    <w:rsid w:val="130F5125"/>
    <w:rsid w:val="133A5971"/>
    <w:rsid w:val="13850E78"/>
    <w:rsid w:val="138E2B8D"/>
    <w:rsid w:val="138F40F7"/>
    <w:rsid w:val="146F3DF7"/>
    <w:rsid w:val="14E40183"/>
    <w:rsid w:val="151843BC"/>
    <w:rsid w:val="15466935"/>
    <w:rsid w:val="157531A0"/>
    <w:rsid w:val="15B64F8F"/>
    <w:rsid w:val="15CF287D"/>
    <w:rsid w:val="16287370"/>
    <w:rsid w:val="162F011F"/>
    <w:rsid w:val="16BB26F8"/>
    <w:rsid w:val="16CD5009"/>
    <w:rsid w:val="17121734"/>
    <w:rsid w:val="176A14D9"/>
    <w:rsid w:val="17C078CB"/>
    <w:rsid w:val="17E23DD4"/>
    <w:rsid w:val="181E174A"/>
    <w:rsid w:val="183A3312"/>
    <w:rsid w:val="18F87A98"/>
    <w:rsid w:val="19641023"/>
    <w:rsid w:val="196B405E"/>
    <w:rsid w:val="199B6CC4"/>
    <w:rsid w:val="19A07F59"/>
    <w:rsid w:val="19B7732F"/>
    <w:rsid w:val="1A00719B"/>
    <w:rsid w:val="1A516D0F"/>
    <w:rsid w:val="1A556062"/>
    <w:rsid w:val="1B3201DD"/>
    <w:rsid w:val="1B4C64BD"/>
    <w:rsid w:val="1B4D36B1"/>
    <w:rsid w:val="1BA91EFF"/>
    <w:rsid w:val="1BBB41AB"/>
    <w:rsid w:val="1BEF680F"/>
    <w:rsid w:val="1C027767"/>
    <w:rsid w:val="1C8E3149"/>
    <w:rsid w:val="1C9A7219"/>
    <w:rsid w:val="1CFD3FD3"/>
    <w:rsid w:val="1D276828"/>
    <w:rsid w:val="1D5346F0"/>
    <w:rsid w:val="1D645BD4"/>
    <w:rsid w:val="1D6D7635"/>
    <w:rsid w:val="1D7579FA"/>
    <w:rsid w:val="1D924373"/>
    <w:rsid w:val="1D985996"/>
    <w:rsid w:val="1E1006E6"/>
    <w:rsid w:val="1E4F01B9"/>
    <w:rsid w:val="1EA4443B"/>
    <w:rsid w:val="1EA87234"/>
    <w:rsid w:val="1EC206FB"/>
    <w:rsid w:val="1EE040CA"/>
    <w:rsid w:val="1EEB067E"/>
    <w:rsid w:val="1EEB0CD6"/>
    <w:rsid w:val="1EF17B30"/>
    <w:rsid w:val="1F3E4737"/>
    <w:rsid w:val="1F6E052A"/>
    <w:rsid w:val="1F76388C"/>
    <w:rsid w:val="1FB6782F"/>
    <w:rsid w:val="206A5E01"/>
    <w:rsid w:val="209B1322"/>
    <w:rsid w:val="20A57817"/>
    <w:rsid w:val="20C13F30"/>
    <w:rsid w:val="212C6D72"/>
    <w:rsid w:val="213644A8"/>
    <w:rsid w:val="21510889"/>
    <w:rsid w:val="22546781"/>
    <w:rsid w:val="23151294"/>
    <w:rsid w:val="233F63EE"/>
    <w:rsid w:val="237F15A3"/>
    <w:rsid w:val="23A55F71"/>
    <w:rsid w:val="23AB2404"/>
    <w:rsid w:val="23AC7493"/>
    <w:rsid w:val="24BB546F"/>
    <w:rsid w:val="250C3648"/>
    <w:rsid w:val="25213037"/>
    <w:rsid w:val="257A7A34"/>
    <w:rsid w:val="26421257"/>
    <w:rsid w:val="265A5C24"/>
    <w:rsid w:val="26875F75"/>
    <w:rsid w:val="277907C8"/>
    <w:rsid w:val="279B7C74"/>
    <w:rsid w:val="27A93268"/>
    <w:rsid w:val="27F87FC2"/>
    <w:rsid w:val="283B2206"/>
    <w:rsid w:val="287A5795"/>
    <w:rsid w:val="28BB2087"/>
    <w:rsid w:val="28E61DCA"/>
    <w:rsid w:val="28FD058B"/>
    <w:rsid w:val="29254958"/>
    <w:rsid w:val="29501300"/>
    <w:rsid w:val="29A64AAB"/>
    <w:rsid w:val="2A445C52"/>
    <w:rsid w:val="2A63017B"/>
    <w:rsid w:val="2ADD610D"/>
    <w:rsid w:val="2AF469CF"/>
    <w:rsid w:val="2AFD7AC8"/>
    <w:rsid w:val="2B660A1C"/>
    <w:rsid w:val="2B7F6AA5"/>
    <w:rsid w:val="2CA55C6B"/>
    <w:rsid w:val="2D064D96"/>
    <w:rsid w:val="2D381B6B"/>
    <w:rsid w:val="2D7C7356"/>
    <w:rsid w:val="2DC559A5"/>
    <w:rsid w:val="2DE1082F"/>
    <w:rsid w:val="2E0C17AB"/>
    <w:rsid w:val="2E3C4214"/>
    <w:rsid w:val="2E665FDB"/>
    <w:rsid w:val="2EB62279"/>
    <w:rsid w:val="2ED262D5"/>
    <w:rsid w:val="2EF06564"/>
    <w:rsid w:val="2F304982"/>
    <w:rsid w:val="2F724538"/>
    <w:rsid w:val="301B1F5D"/>
    <w:rsid w:val="301E1988"/>
    <w:rsid w:val="3058528B"/>
    <w:rsid w:val="30CC105E"/>
    <w:rsid w:val="30EE71C4"/>
    <w:rsid w:val="31D804B8"/>
    <w:rsid w:val="3262171C"/>
    <w:rsid w:val="32F86A57"/>
    <w:rsid w:val="33D75F09"/>
    <w:rsid w:val="33F03F01"/>
    <w:rsid w:val="342A3E8C"/>
    <w:rsid w:val="34330DD9"/>
    <w:rsid w:val="34634368"/>
    <w:rsid w:val="34AA01DC"/>
    <w:rsid w:val="34FE3C30"/>
    <w:rsid w:val="350F5212"/>
    <w:rsid w:val="351D2E33"/>
    <w:rsid w:val="352210FC"/>
    <w:rsid w:val="354202DB"/>
    <w:rsid w:val="355038A9"/>
    <w:rsid w:val="359D05B9"/>
    <w:rsid w:val="35A17702"/>
    <w:rsid w:val="367E42C7"/>
    <w:rsid w:val="36956B8C"/>
    <w:rsid w:val="371951A3"/>
    <w:rsid w:val="37EC1B56"/>
    <w:rsid w:val="38C954F8"/>
    <w:rsid w:val="3940059B"/>
    <w:rsid w:val="399827D5"/>
    <w:rsid w:val="3A025B8E"/>
    <w:rsid w:val="3A2154E4"/>
    <w:rsid w:val="3A401073"/>
    <w:rsid w:val="3A741987"/>
    <w:rsid w:val="3A8B3BFB"/>
    <w:rsid w:val="3ABF7DB8"/>
    <w:rsid w:val="3ADE136E"/>
    <w:rsid w:val="3B386425"/>
    <w:rsid w:val="3B9C63CC"/>
    <w:rsid w:val="3BE401DA"/>
    <w:rsid w:val="3CA02E52"/>
    <w:rsid w:val="3CC2593E"/>
    <w:rsid w:val="3D032D44"/>
    <w:rsid w:val="3E471DFD"/>
    <w:rsid w:val="3E6A1816"/>
    <w:rsid w:val="3F434A02"/>
    <w:rsid w:val="408753F4"/>
    <w:rsid w:val="408D10B1"/>
    <w:rsid w:val="40947325"/>
    <w:rsid w:val="40F405CC"/>
    <w:rsid w:val="40FA1029"/>
    <w:rsid w:val="41370768"/>
    <w:rsid w:val="415F76F8"/>
    <w:rsid w:val="416F6683"/>
    <w:rsid w:val="41A92C11"/>
    <w:rsid w:val="41D739A5"/>
    <w:rsid w:val="41DA6731"/>
    <w:rsid w:val="41DD004E"/>
    <w:rsid w:val="42044479"/>
    <w:rsid w:val="425F0F38"/>
    <w:rsid w:val="42AB75CB"/>
    <w:rsid w:val="42CE5FBB"/>
    <w:rsid w:val="42E90E20"/>
    <w:rsid w:val="43A0700B"/>
    <w:rsid w:val="44991AE0"/>
    <w:rsid w:val="44BD6023"/>
    <w:rsid w:val="44F778DB"/>
    <w:rsid w:val="45047CA4"/>
    <w:rsid w:val="451609AC"/>
    <w:rsid w:val="4594103F"/>
    <w:rsid w:val="45B4435C"/>
    <w:rsid w:val="45E83876"/>
    <w:rsid w:val="45EB52C6"/>
    <w:rsid w:val="46625BDF"/>
    <w:rsid w:val="46B94F03"/>
    <w:rsid w:val="47585D41"/>
    <w:rsid w:val="47631940"/>
    <w:rsid w:val="47762CA8"/>
    <w:rsid w:val="477A5D4D"/>
    <w:rsid w:val="47AC5CCC"/>
    <w:rsid w:val="47E37682"/>
    <w:rsid w:val="47E7403E"/>
    <w:rsid w:val="47F27979"/>
    <w:rsid w:val="480774F3"/>
    <w:rsid w:val="4845132D"/>
    <w:rsid w:val="48BB4465"/>
    <w:rsid w:val="49216DBC"/>
    <w:rsid w:val="49387F21"/>
    <w:rsid w:val="495124E6"/>
    <w:rsid w:val="49AA0AC7"/>
    <w:rsid w:val="49EC1694"/>
    <w:rsid w:val="4A471741"/>
    <w:rsid w:val="4A5A4710"/>
    <w:rsid w:val="4A6878E6"/>
    <w:rsid w:val="4AFD7FBC"/>
    <w:rsid w:val="4B035078"/>
    <w:rsid w:val="4B8B4FBF"/>
    <w:rsid w:val="4BE26612"/>
    <w:rsid w:val="4BFB6B1D"/>
    <w:rsid w:val="4C2B2CAD"/>
    <w:rsid w:val="4C4F679C"/>
    <w:rsid w:val="4C896196"/>
    <w:rsid w:val="4C9C3A47"/>
    <w:rsid w:val="4D2F7D3F"/>
    <w:rsid w:val="4D7654E0"/>
    <w:rsid w:val="4D8F6F14"/>
    <w:rsid w:val="4DBA4216"/>
    <w:rsid w:val="4DBC7557"/>
    <w:rsid w:val="4DCB35ED"/>
    <w:rsid w:val="4DCD55A0"/>
    <w:rsid w:val="4DE31008"/>
    <w:rsid w:val="4DF2602F"/>
    <w:rsid w:val="4E1B6A0B"/>
    <w:rsid w:val="4E221465"/>
    <w:rsid w:val="4E2F2DC0"/>
    <w:rsid w:val="4E3F35B1"/>
    <w:rsid w:val="4E5A5196"/>
    <w:rsid w:val="4ED423AE"/>
    <w:rsid w:val="4F40507F"/>
    <w:rsid w:val="4F610152"/>
    <w:rsid w:val="505428F3"/>
    <w:rsid w:val="505C0BA4"/>
    <w:rsid w:val="507207FA"/>
    <w:rsid w:val="507A6FBA"/>
    <w:rsid w:val="508C5689"/>
    <w:rsid w:val="508D5948"/>
    <w:rsid w:val="509846A9"/>
    <w:rsid w:val="50AA5D32"/>
    <w:rsid w:val="50BB7729"/>
    <w:rsid w:val="52294F82"/>
    <w:rsid w:val="52500057"/>
    <w:rsid w:val="526268DD"/>
    <w:rsid w:val="5274712B"/>
    <w:rsid w:val="5305453E"/>
    <w:rsid w:val="53300EAE"/>
    <w:rsid w:val="549473C0"/>
    <w:rsid w:val="54F40A45"/>
    <w:rsid w:val="55F82031"/>
    <w:rsid w:val="55F920FF"/>
    <w:rsid w:val="56464255"/>
    <w:rsid w:val="56D42649"/>
    <w:rsid w:val="56DB1E11"/>
    <w:rsid w:val="57432F4E"/>
    <w:rsid w:val="574B01B0"/>
    <w:rsid w:val="57B06DB9"/>
    <w:rsid w:val="57BE004A"/>
    <w:rsid w:val="58741402"/>
    <w:rsid w:val="593D73DB"/>
    <w:rsid w:val="59EA15B7"/>
    <w:rsid w:val="5A1E418A"/>
    <w:rsid w:val="5A532049"/>
    <w:rsid w:val="5A53598B"/>
    <w:rsid w:val="5A975B84"/>
    <w:rsid w:val="5BFD5AB5"/>
    <w:rsid w:val="5C5C782A"/>
    <w:rsid w:val="5CCA1527"/>
    <w:rsid w:val="5D95049A"/>
    <w:rsid w:val="5E6B43CE"/>
    <w:rsid w:val="5E923EC9"/>
    <w:rsid w:val="5F963482"/>
    <w:rsid w:val="5FA6139F"/>
    <w:rsid w:val="601B0AEB"/>
    <w:rsid w:val="60367908"/>
    <w:rsid w:val="604D0E43"/>
    <w:rsid w:val="60D713FC"/>
    <w:rsid w:val="611976DA"/>
    <w:rsid w:val="617A47CC"/>
    <w:rsid w:val="61C21FBF"/>
    <w:rsid w:val="62025FCA"/>
    <w:rsid w:val="62192F56"/>
    <w:rsid w:val="62262AD4"/>
    <w:rsid w:val="62730DFD"/>
    <w:rsid w:val="6281495E"/>
    <w:rsid w:val="630B20F4"/>
    <w:rsid w:val="63193296"/>
    <w:rsid w:val="63287BC7"/>
    <w:rsid w:val="632F196D"/>
    <w:rsid w:val="634F7A07"/>
    <w:rsid w:val="63CF5FFF"/>
    <w:rsid w:val="6441191F"/>
    <w:rsid w:val="645B4479"/>
    <w:rsid w:val="64767A0B"/>
    <w:rsid w:val="64D946D3"/>
    <w:rsid w:val="6536531F"/>
    <w:rsid w:val="654E27FD"/>
    <w:rsid w:val="657A5127"/>
    <w:rsid w:val="659A2E3E"/>
    <w:rsid w:val="659D094E"/>
    <w:rsid w:val="65EF6D63"/>
    <w:rsid w:val="664B50DC"/>
    <w:rsid w:val="66517B3F"/>
    <w:rsid w:val="66B87BC6"/>
    <w:rsid w:val="66E32439"/>
    <w:rsid w:val="66E947A6"/>
    <w:rsid w:val="672732D6"/>
    <w:rsid w:val="6741510F"/>
    <w:rsid w:val="678F52EE"/>
    <w:rsid w:val="68EB201F"/>
    <w:rsid w:val="694226BD"/>
    <w:rsid w:val="69643B4A"/>
    <w:rsid w:val="69836F94"/>
    <w:rsid w:val="69A578E5"/>
    <w:rsid w:val="69C04ABB"/>
    <w:rsid w:val="69C949BD"/>
    <w:rsid w:val="69F936A0"/>
    <w:rsid w:val="69FB3CEA"/>
    <w:rsid w:val="6A5E4BBE"/>
    <w:rsid w:val="6AAC1985"/>
    <w:rsid w:val="6AC76ABF"/>
    <w:rsid w:val="6ACE4D37"/>
    <w:rsid w:val="6AE0698C"/>
    <w:rsid w:val="6B2D2DD1"/>
    <w:rsid w:val="6B4A2C69"/>
    <w:rsid w:val="6B715BA4"/>
    <w:rsid w:val="6B853A0B"/>
    <w:rsid w:val="6BCF16F1"/>
    <w:rsid w:val="6C5120F8"/>
    <w:rsid w:val="6C907499"/>
    <w:rsid w:val="6C9932B3"/>
    <w:rsid w:val="6CB82799"/>
    <w:rsid w:val="6D3235AF"/>
    <w:rsid w:val="6D6605E1"/>
    <w:rsid w:val="6DB046C3"/>
    <w:rsid w:val="6DCA25A9"/>
    <w:rsid w:val="6E374AEF"/>
    <w:rsid w:val="6F0E64D5"/>
    <w:rsid w:val="6F763638"/>
    <w:rsid w:val="6F9D7484"/>
    <w:rsid w:val="6FEA7854"/>
    <w:rsid w:val="70352B2C"/>
    <w:rsid w:val="70844159"/>
    <w:rsid w:val="708C277D"/>
    <w:rsid w:val="70D03495"/>
    <w:rsid w:val="70D4483F"/>
    <w:rsid w:val="713978EF"/>
    <w:rsid w:val="7145584D"/>
    <w:rsid w:val="715B13F7"/>
    <w:rsid w:val="715E6C8D"/>
    <w:rsid w:val="718E6F68"/>
    <w:rsid w:val="71E23B38"/>
    <w:rsid w:val="72185F3B"/>
    <w:rsid w:val="72222730"/>
    <w:rsid w:val="727707D3"/>
    <w:rsid w:val="729344B0"/>
    <w:rsid w:val="72C568B4"/>
    <w:rsid w:val="72DB6001"/>
    <w:rsid w:val="7396760B"/>
    <w:rsid w:val="73B01C12"/>
    <w:rsid w:val="73B67AD5"/>
    <w:rsid w:val="73CD79E2"/>
    <w:rsid w:val="740E30C6"/>
    <w:rsid w:val="741115F7"/>
    <w:rsid w:val="7417414C"/>
    <w:rsid w:val="743F7715"/>
    <w:rsid w:val="74445220"/>
    <w:rsid w:val="74966354"/>
    <w:rsid w:val="74BA6964"/>
    <w:rsid w:val="74E710D7"/>
    <w:rsid w:val="759A3FB7"/>
    <w:rsid w:val="75C232CB"/>
    <w:rsid w:val="75D30060"/>
    <w:rsid w:val="760B591E"/>
    <w:rsid w:val="766A4803"/>
    <w:rsid w:val="76B1397B"/>
    <w:rsid w:val="76BA0270"/>
    <w:rsid w:val="76BF6564"/>
    <w:rsid w:val="76D161DE"/>
    <w:rsid w:val="773E5898"/>
    <w:rsid w:val="77667C2A"/>
    <w:rsid w:val="776D520A"/>
    <w:rsid w:val="790D447D"/>
    <w:rsid w:val="79341C63"/>
    <w:rsid w:val="79344E38"/>
    <w:rsid w:val="796462C2"/>
    <w:rsid w:val="79773D24"/>
    <w:rsid w:val="79822B8A"/>
    <w:rsid w:val="79897B01"/>
    <w:rsid w:val="7A32639B"/>
    <w:rsid w:val="7A495510"/>
    <w:rsid w:val="7A8F32F6"/>
    <w:rsid w:val="7AA97A9D"/>
    <w:rsid w:val="7ABD49D4"/>
    <w:rsid w:val="7AC06C49"/>
    <w:rsid w:val="7B524663"/>
    <w:rsid w:val="7B63246C"/>
    <w:rsid w:val="7B652FB5"/>
    <w:rsid w:val="7BAF350D"/>
    <w:rsid w:val="7BDA07A0"/>
    <w:rsid w:val="7C917E46"/>
    <w:rsid w:val="7D087766"/>
    <w:rsid w:val="7DA43BE7"/>
    <w:rsid w:val="7DF6307F"/>
    <w:rsid w:val="7E92744C"/>
    <w:rsid w:val="7EA979A6"/>
    <w:rsid w:val="7F642DE6"/>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2009</Words>
  <Characters>2336</Characters>
  <Lines>2</Lines>
  <Paragraphs>1</Paragraphs>
  <TotalTime>17</TotalTime>
  <ScaleCrop>false</ScaleCrop>
  <LinksUpToDate>false</LinksUpToDate>
  <CharactersWithSpaces>2359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jsyh</cp:lastModifiedBy>
  <cp:lastPrinted>2024-04-16T11:20:00Z</cp:lastPrinted>
  <dcterms:modified xsi:type="dcterms:W3CDTF">2025-10-21T02:13:55Z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