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南银理财珠联璧合鑫逸稳一年194期封闭式公募人民币理财产品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南银理财珠联璧合鑫逸稳一年194期封闭式公募人民币理财产品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Z7003224000277（投资者可依据该编码在中国理财网www.chinawealth.com.cn查询理财产品相关信息）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2024年12月04日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1,410,266,646.00份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100.35%</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中信信托有限责任公司,交银国际信托有限公司,国投泰康信托有限公司,百瑞信托有限责任公司,紫金信托有限责任公司,鑫元基金管理有限公司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Y30194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771,422,336.98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Y31194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302,326,846.90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Y32194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361,060,371.39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ascii="方正仿宋简体" w:eastAsia="方正仿宋简体" w:hint="eastAsia"/>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截至报告期末，本产品Y30194份额净值为1.0169元，Y31194份额净值为1.0175元，Y32194份额净值为1.0181元。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96.66</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3.34</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XTDKX202412170001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交银国信·蓝色睿投1号集合资金信托计划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350,280,497.00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24.41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316,761,264.29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260,461,797.32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18.15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156,967,453.22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10.94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XTDKX202412120004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百瑞恒益1632号集合资金信托计划（鹏南11号）（第1期）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143,253,657.40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XTDKX202412190001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百瑞恒益1604号集合资金信托计划（南瑞8号）第1期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109,977,293.80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7.66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XTDKX202412190021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百瑞恒益1602号集合资金信托计划（南瑞6号）第1期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89,981,422.20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XTDKX202412120001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中信信托·兴邦90号固定收益类信托计划第1期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10,006,369.10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0.70</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东台市国有资产经营集团有限公司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百瑞恒益1604号集合资金信托计划（南瑞8号）第1期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盐城经开城建投资集团有限公司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百瑞恒益1602号集合资金信托计划（南瑞6号）第1期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交银国信·蓝色睿投1号集合资金信托计划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盐城市城镇化建设投资集团有限公司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中信信托·兴邦90号固定收益类信托计划第1期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泰州市泰政港口投资有限公司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百瑞恒益1632号集合资金信托计划（鹏南11号）（第1期）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0101050000001299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南京银行南京分行南银理财珠联璧合鑫逸稳一年194期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256,000,000.00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378,680.48</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