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南银理财珠联璧合悦稳（最低持有91天）公募人民币理财产品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南银理财珠联璧合悦稳（最低持有91天）公募人民币理财产品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Z7003222000021（投资者可依据该编码在中国理财网www.chinawealth.com.cn查询理财产品相关信息）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2022年03月30日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7,581,544,890.26份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100.13%</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万家基金管理有限公司,中粮信托有限责任公司,国投泰康信托有限公司,招商基金管理有限公司,紫金信托有限责任公司,鑫元基金管理有限公司,陆家嘴国际信托有限公司,交银施罗德基金管理有限公司,江苏省国际信托有限责任公司,上海光大证券资产管理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6,769,917,447.40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1.0915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1.0915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28,481.26</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1,296,712,934.66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1.0951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94,910,958.91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1.0882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118,087,514.92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1.0916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截至报告期末，本产品A32001份额净值为1.0915元，A32002份额净值为1.0951元，A32003份额净值为1.0882元，A32004份额净值为1.0916元。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99.62</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98.14</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0.38</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1.86</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902,552,747.54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ZJQTT202204260021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江苏信托南银1号集合资金信托计划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520,404,928.57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510,862,611.52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XJCKX202406060001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475,429,297.97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323,745,951.09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318,945,005.20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XJCKX202211030001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建设银行活期存款20221103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300,000,044.75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DQCKX202505120002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中国银行定期存款20250512A</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DQCKX202506200003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农业银行定期存款20250620B</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268,006,371.44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3.24</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0120080000000782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南银理财悦稳最低持有91天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83,369,610.96</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761,000,000.00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810,420.85</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4,376,004.55</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