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南银理财珠联璧合鑫悦享1912三个月定开公募人民币理财产品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南银理财珠联璧合鑫悦享1912三个月定开公募人民币理财产品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2019年12月18日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2,784,364,647.51份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106.28%</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中粮信托有限责任公司,国投泰康信托有限公司,百瑞信托有限责任公司,鑫沅资产管理有限公司,江苏省国际信托有限责任公司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3,045,113,924.09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1.2089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55,703.00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55,125,273.13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22,279,932.70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截至报告期末，本产品Z40004份额净值为1.1214元，Z41004份额净值为1.1217元，Z42004份额净值为1.1196元。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99.68</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97.92</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0.32</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2.08</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418,018,657.80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221,716,982.40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XJCKX202407020001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北京银行上海分行活期存款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200,241,624.67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XTDKX202412260002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臻鸿三号集合资金信托计划（第16期）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200,036,928.00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127,290,078.87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DQCKX202405130004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中国银行定期存款20240513E</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253778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24上合01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112486116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24徽商银行CD166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98,676,300.00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112415255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24民生银行CD255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98,185,000.00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166441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20德建01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臻鸿三号集合资金信托计划（第16期）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南京银行鑫悦享1912三个月定开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445,589,836.49</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741,162.51</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6,570,947.53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