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南银理财珠联璧合鑫悦享1908三个月定开公募人民币理财产品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南银理财珠联璧合鑫悦享1908三个月定开公募人民币理财产品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2019年08月22日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3,502,637,613.03份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105.56%</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中粮信托有限责任公司,国投泰康信托有限公司,百瑞信托有限责任公司,鑫沅资产管理有限公司,中国人保资产管理有限公司,江苏省国际信托有限责任公司,光大永明资产管理股份有限公司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3,754,146,925.32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1.1216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1.2195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53,166.65</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116,454,239.63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1.1220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1.1220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Z42001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58,525,825.13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1.1269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1.1269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截至报告期末，本产品Z40001份额净值为1.1216元，Z41001份额净值为1.1220元，Z42001份额净值为1.1269元。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99.51</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98.34</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0.49</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1.66</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XTDKX202411190004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臻鸿三号集合资金信托计划（第8期）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632,073,663.90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257,301,921.09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XTDKX202411200002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臻鸿三号集合资金信托计划（第7期）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200,632,198.00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196,092,090.43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DQCKX202405130003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中国银行定期存款20240513D</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254215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24浙太02</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112403175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24农业银行CD175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98,648,400.00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112421251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24渤海银行CD251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98,638,900.00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252747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23句容05</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121720001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17紫金玄武PRN001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60,413,300.00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臻鸿三号集合资金信托计划（第7期）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臻鸿三号集合资金信托计划（第8期）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0120000000000314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南京银行鑫悦享1908三个月定开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349,362,719.01</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948,839.82</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8,091,728.44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