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南银理财珠联璧合悦稳（最低持有91天）公募人民币理财产品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南银理财珠联璧合悦稳（最低持有91天）公募人民币理财产品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Z7003222000021（投资者可依据该编码在中国理财网www.chinawealth.com.cn查询理财产品相关信息）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2022年03月30日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6,920,123,950.79份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101.99%</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万家基金管理有限公司,中粮信托有限责任公司,厦门国际信托有限公司,国投泰康信托有限公司,招商基金管理有限公司,鑫元基金管理有限公司,鑫沅资产管理有限公司,中国人保资产管理有限公司,交银施罗德基金管理有限公司,江苏省国际信托有限责任公司,上海光大证券资产管理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5,518,294,897.77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1.0780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1.0780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31,129.99</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1,772,370,616.17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1.0810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174,239,774.34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1.0758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1.0758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这些都验证了之前在3季度的判断。</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在品种上，可以关注一些3-5年的银行二级资本债和永续债的交易型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截至报告期末，本产品A32001份额净值为1.0780元，A32002份额净值为1.0810元，A32003份额净值为1.0758元。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97.05</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2.95</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ZJQTT202204260021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江苏信托南银1号集合资金信托计划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881,953,054.36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730,833,632.16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483,833,191.02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438,003,467.51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XJCKX202407020001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北京银行上海分行活期存款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319,032,671.63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313,263,106.75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298,784,222.03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285,477,322.44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DQCKX202412100001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民生银行定期存款20241210</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519199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万家家享中短债债券A</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199,395,115.49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0120080000000782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南银理财悦稳最低持有91天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437,000,000.00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1,051,617.84</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6,939,954.84</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